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numPr>
          <w:numId w:val="0"/>
        </w:numPr>
        <w:spacing w:after="0" w:line="240" w:lineRule="auto"/>
        <w:ind w:left="0" w:firstLine="1854"/>
        <w:jc w:val="both"/>
        <w:rPr>
          <w:rFonts w:ascii="Times New Roman" w:cs="Times New Roman" w:eastAsia="Times New Roman" w:hAnsi="Times New Roman"/>
          <w:sz w:val="24"/>
          <w:szCs w:val="28"/>
          <w:lang w:eastAsia="ru-RU"/>
        </w:rPr>
      </w:pPr>
    </w:p>
    <w:p>
      <w:pPr>
        <w:spacing w:after="0" w:line="240" w:lineRule="auto"/>
        <w:ind w:firstLine="1134"/>
        <w:contextualSpacing w:val="on"/>
        <w:jc w:val="both"/>
        <w:rPr>
          <w:rFonts w:ascii="Times New Roman" w:cs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4"/>
          <w:szCs w:val="28"/>
          <w:lang w:eastAsia="ru-RU"/>
        </w:rPr>
        <w:t xml:space="preserve">Оценка уровня овладения ребенком необходимыми навыками и умениями по образовательным областям: </w:t>
      </w:r>
    </w:p>
    <w:p>
      <w:pPr>
        <w:spacing w:after="0" w:line="240" w:lineRule="auto"/>
        <w:ind w:firstLine="1134"/>
        <w:contextualSpacing w:val="on"/>
        <w:jc w:val="both"/>
        <w:rPr>
          <w:rFonts w:ascii="Times New Roman" w:cs="Times New Roman" w:eastAsia="Times New Roman" w:hAnsi="Times New Roman"/>
          <w:b/>
          <w:sz w:val="24"/>
          <w:szCs w:val="28"/>
          <w:lang w:eastAsia="ru-RU"/>
        </w:rPr>
      </w:pPr>
    </w:p>
    <w:p>
      <w:pPr>
        <w:spacing w:after="0" w:line="24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8"/>
          <w:lang w:eastAsia="ru-RU"/>
        </w:rPr>
        <w:t>1 балл –ребенок с помощью взрослого выполняет все  предложенные задания; ребенок имеет частично усвоенные, неточные, неполные представленя по указанному критерию</w:t>
      </w:r>
    </w:p>
    <w:p>
      <w:pPr>
        <w:numPr>
          <w:ilvl w:val="0"/>
          <w:numId w:val="2"/>
        </w:numPr>
        <w:spacing w:after="0" w:line="240" w:lineRule="auto"/>
        <w:ind w:left="0" w:firstLine="1134"/>
        <w:contextualSpacing w:val="on"/>
        <w:jc w:val="both"/>
        <w:rPr>
          <w:rFonts w:ascii="Times New Roman" w:cs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8"/>
          <w:lang w:eastAsia="ru-RU"/>
        </w:rPr>
        <w:t>2 балла – ребенок выполняет задания самостоятельно   с частичной помощью взрослого; ребенок имеет  усвоенные с незначительным неточностями представления по указанному критерию;</w:t>
      </w:r>
    </w:p>
    <w:p>
      <w:pPr>
        <w:numPr>
          <w:ilvl w:val="0"/>
          <w:numId w:val="3"/>
        </w:numPr>
        <w:spacing w:after="0" w:line="240" w:lineRule="auto"/>
        <w:ind w:left="0" w:firstLine="1134"/>
        <w:contextualSpacing w:val="on"/>
        <w:jc w:val="both"/>
        <w:rPr>
          <w:rFonts w:ascii="Times New Roman" w:cs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8"/>
          <w:lang w:eastAsia="ru-RU"/>
        </w:rPr>
        <w:t>3 балла – ребенок выполняет  все предложенные задания самостоятельно; ребенок имеет полностью усвоенные представления по указанно</w:t>
      </w:r>
      <w:r>
        <w:rPr>
          <w:rFonts w:ascii="Times New Roman" w:cs="Times New Roman" w:eastAsia="Times New Roman" w:hAnsi="Times New Roman"/>
          <w:sz w:val="24"/>
          <w:szCs w:val="28"/>
          <w:lang w:eastAsia="ru-RU"/>
        </w:rPr>
        <w:t>вления по указанному критерию</w:t>
      </w:r>
    </w:p>
    <w:p>
      <w:pPr>
        <w:spacing w:after="0"/>
        <w:ind w:firstLine="1134"/>
        <w:jc w:val="both"/>
        <w:rPr>
          <w:rFonts w:ascii="Times New Roman" w:cs="Times New Roman" w:eastAsia="Calibri" w:hAnsi="Times New Roman"/>
          <w:sz w:val="24"/>
          <w:szCs w:val="28"/>
        </w:rPr>
      </w:pPr>
      <w:r>
        <w:rPr>
          <w:rFonts w:ascii="Times New Roman" w:cs="Times New Roman" w:eastAsia="Calibri" w:hAnsi="Times New Roman"/>
          <w:sz w:val="24"/>
          <w:szCs w:val="28"/>
        </w:rPr>
        <w:t>Оценка индивидуального  развития детей производится в рамках педагогической диагностики по областям:</w:t>
      </w:r>
    </w:p>
    <w:tbl>
      <w:tblPr>
        <w:tblW w:w="0" w:type="auto"/>
        <w:tblInd w:w="-39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  <w:tblLook w:val="04A0"/>
      </w:tblPr>
      <w:tblGrid>
        <w:gridCol w:w="2025"/>
        <w:gridCol w:w="7909"/>
      </w:tblGrid>
      <w:tr>
        <w:trPr/>
        <w:tc>
          <w:tcPr>
            <w:cnfStyle w:val="101000000000"/>
            <w:tcW w:w="2025" w:type="dxa"/>
            <w:shd w:val="clear" w:color="auto" w:fill="auto"/>
          </w:tcPr>
          <w:p>
            <w:pPr>
              <w:spacing w:after="0" w:line="240" w:lineRule="auto"/>
              <w:ind w:firstLine="1134"/>
              <w:jc w:val="both"/>
              <w:rPr>
                <w:rFonts w:ascii="Times New Roman" w:cs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cnfStyle w:val="100000000000"/>
            <w:tcW w:w="7909" w:type="dxa"/>
            <w:shd w:val="clear" w:color="auto" w:fill="auto"/>
          </w:tcPr>
          <w:p>
            <w:pPr>
              <w:spacing w:after="0" w:line="240" w:lineRule="auto"/>
              <w:ind w:left="-62" w:firstLine="2330"/>
              <w:jc w:val="both"/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8"/>
                <w:lang w:eastAsia="ru-RU"/>
              </w:rPr>
              <w:t>Образовательные области</w:t>
            </w:r>
          </w:p>
        </w:tc>
      </w:tr>
      <w:tr>
        <w:trPr/>
        <w:tc>
          <w:tcPr>
            <w:cnfStyle w:val="001000100000"/>
            <w:tcW w:w="2025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Физическое развитие</w:t>
            </w:r>
          </w:p>
        </w:tc>
        <w:tc>
          <w:tcPr>
            <w:cnfStyle w:val="000000100000"/>
            <w:tcW w:w="7909" w:type="dxa"/>
            <w:shd w:val="clear" w:color="auto" w:fill="auto"/>
          </w:tcPr>
          <w:p>
            <w:p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Физическая культура</w:t>
            </w:r>
          </w:p>
          <w:p>
            <w:p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</w:p>
        </w:tc>
      </w:tr>
      <w:tr>
        <w:trPr/>
        <w:tc>
          <w:tcPr>
            <w:cnfStyle w:val="001000010000"/>
            <w:tcW w:w="202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  <w:t>Познание</w:t>
            </w:r>
          </w:p>
        </w:tc>
        <w:tc>
          <w:tcPr>
            <w:cnfStyle w:val="000000010000"/>
            <w:tcW w:w="7909" w:type="dxa"/>
            <w:shd w:val="clear" w:color="auto" w:fill="auto"/>
          </w:tcPr>
          <w:p>
            <w:pPr>
              <w:numPr>
                <w:ilvl w:val="0"/>
                <w:numId w:val="4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Формирование элементарных математических представлений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Конструирование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Безопасность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Экологическое развитие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Ребенок и предметный мир</w:t>
            </w:r>
          </w:p>
          <w:p>
            <w:pPr>
              <w:spacing w:after="0" w:line="240" w:lineRule="auto"/>
              <w:ind w:left="-62" w:firstLine="708"/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>
        <w:trPr/>
        <w:tc>
          <w:tcPr>
            <w:cnfStyle w:val="001000100000"/>
            <w:tcW w:w="2025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  <w:t>Речевое развитие</w:t>
            </w:r>
          </w:p>
        </w:tc>
        <w:tc>
          <w:tcPr>
            <w:cnfStyle w:val="000000100000"/>
            <w:tcW w:w="7909" w:type="dxa"/>
            <w:shd w:val="clear" w:color="auto" w:fill="auto"/>
          </w:tcPr>
          <w:p>
            <w:pPr>
              <w:numPr>
                <w:ilvl w:val="0"/>
                <w:numId w:val="5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Развитие речи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Ознакомление с художественной литературой</w:t>
            </w:r>
          </w:p>
          <w:p>
            <w:pPr>
              <w:numPr>
                <w:ilvl w:val="0"/>
                <w:numId w:val="5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Ребенок и предметный мир</w:t>
            </w:r>
          </w:p>
          <w:p>
            <w:pPr>
              <w:spacing w:after="0" w:line="240" w:lineRule="auto"/>
              <w:ind w:left="-62" w:firstLine="708"/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>
        <w:trPr/>
        <w:tc>
          <w:tcPr>
            <w:cnfStyle w:val="001000010000"/>
            <w:tcW w:w="2025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cnfStyle w:val="000000010000"/>
            <w:tcW w:w="7909" w:type="dxa"/>
            <w:shd w:val="clear" w:color="auto" w:fill="auto"/>
          </w:tcPr>
          <w:p>
            <w:pPr>
              <w:numPr>
                <w:ilvl w:val="0"/>
                <w:numId w:val="6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 xml:space="preserve">Музыкальное развитие 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Изобразительная деятельность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Лепка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Рисование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аппликация</w:t>
            </w:r>
          </w:p>
          <w:p>
            <w:pPr>
              <w:spacing w:after="0" w:line="240" w:lineRule="auto"/>
              <w:ind w:left="-62" w:firstLine="708"/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>
        <w:trPr/>
        <w:tc>
          <w:tcPr>
            <w:cnfStyle w:val="001000100000"/>
            <w:tcW w:w="2025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8"/>
                <w:lang w:eastAsia="ru-RU"/>
              </w:rPr>
              <w:t>Социально-коммуникативное</w:t>
            </w:r>
          </w:p>
        </w:tc>
        <w:tc>
          <w:tcPr>
            <w:cnfStyle w:val="000000100000"/>
            <w:tcW w:w="7909" w:type="dxa"/>
            <w:shd w:val="clear" w:color="auto" w:fill="auto"/>
          </w:tcPr>
          <w:p>
            <w:pPr>
              <w:numPr>
                <w:ilvl w:val="0"/>
                <w:numId w:val="8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Безопасность</w:t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-62" w:firstLine="708"/>
              <w:rPr>
                <w:rFonts w:ascii="Times New Roman" w:cs="Times New Roman" w:eastAsia="Calibri" w:hAnsi="Times New Roman"/>
                <w:sz w:val="24"/>
                <w:szCs w:val="28"/>
              </w:rPr>
            </w:pPr>
            <w:r>
              <w:rPr>
                <w:rFonts w:ascii="Times New Roman" w:cs="Times New Roman" w:eastAsia="Calibri" w:hAnsi="Times New Roman"/>
                <w:sz w:val="24"/>
                <w:szCs w:val="28"/>
              </w:rPr>
              <w:t>Социально-нравственное развитие</w:t>
            </w:r>
          </w:p>
        </w:tc>
      </w:tr>
      <w:tr>
        <w:trPr/>
        <w:tc>
          <w:tcPr>
            <w:cnfStyle w:val="001000010000"/>
            <w:tcW w:w="9934" w:type="dxa"/>
            <w:gridSpan w:val="2"/>
            <w:tcBorders>
              <w:left w:val="nil" w:sz="4"/>
              <w:bottom w:val="nil" w:sz="4"/>
              <w:right w:val="nil" w:sz="4"/>
            </w:tcBorders>
            <w:shd w:val="clear" w:color="auto" w:fill="auto"/>
          </w:tcPr>
          <w:p>
            <w:pPr>
              <w:spacing w:after="0" w:line="240" w:lineRule="auto"/>
              <w:ind w:firstLine="1134"/>
              <w:jc w:val="both"/>
              <w:rPr>
                <w:rFonts w:ascii="Times New Roman" w:cs="Times New Roman" w:eastAsia="Calibri" w:hAnsi="Times New Roman"/>
                <w:sz w:val="24"/>
                <w:szCs w:val="28"/>
              </w:rPr>
            </w:pPr>
          </w:p>
        </w:tc>
      </w:tr>
    </w:tbl>
    <w:p>
      <w:pPr>
        <w:spacing w:after="0"/>
        <w:ind w:firstLine="1134"/>
        <w:jc w:val="both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>Критерии оценки, инструментарий.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3 балла – высокий уровень развития.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2 балла – средний уровень развития.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1 балл– низкий уровень развития.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 xml:space="preserve"> «Познание»</w:t>
      </w:r>
      <w:r>
        <w:rPr>
          <w:rFonts w:ascii="Times New Roman" w:cs="Times New Roman" w:hAnsi="Times New Roman"/>
          <w:sz w:val="24"/>
          <w:szCs w:val="28"/>
        </w:rPr>
        <w:t xml:space="preserve"> (ознакомление с окружающей средой).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Материал: парные картинки,разрезные картинки, крупная мозаика, пирамиды разных размеров, цветные шары разных размеров, ведерки, кубики, раздаточный материал (зайки, мишки, морковки, шишки и т.д.). </w:t>
      </w:r>
      <w:r>
        <w:rPr>
          <w:rFonts w:ascii="Times New Roman" w:cs="Times New Roman" w:hAnsi="Times New Roman"/>
          <w:sz w:val="24"/>
          <w:szCs w:val="28"/>
        </w:rPr>
        <w:t>Дидактические игры: «Найди игрушку», «Что это?», «Какой это фрукт (овощ)?», «Когда это бывает?», на развитие внимания, мышления, сенсорики. Муляжи овощей и фруктов. Фигурки домашних и диких животных. Картинки с сезонными явлениями природы. Мозаика, магнитная мозаика, магнитная доска.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Критерии оценки: 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3 балла – ребенок самостоятельно подбирает и складывает парные картинки, может сложить узор по образцу; сравнивает и подбирает предметы по величине, размеру, цвету; различает и называет строительный материал, может выполнить простейшие постройки и обыграть их.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2 балла – ребенок с помощью воспитателя складывает парные картинки, с подсказками складывает узор; не уверенно подбирает предметы по величине, размеру, цвету; путается в названии строительного материала, выполняет постройки по образцу.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1 балл – ребенок не может подобрать и сложить картинки, выполнить узор по образцу; не может подобрать предметы по величине, размеру, цвету; не знает строительного материала, с трудом выполняет простейшие постройки, но не может их обыграть.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 xml:space="preserve"> «Речевое развитие».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Материал: книги со стихами и сказками, иллюстрации в книгах, картины, игрушечные мишки, зайчики, и др. звери, куклы с закрывающимися глазами, парные игрушки. Картинки с сезонными изменениями природы, разрезные картинки, парные картинки. Дидактические игры на развитие внимания, памяти, сенсорики. Театры: настольный, плоскостной, для фланелеграфа. </w:t>
      </w:r>
    </w:p>
    <w:p>
      <w:pPr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3 балла – ребенок без затруднений отвечает на поставленные вопросы; в предложениях использует слова обозначающие цвет, величину, действие; может рассказать об увиденном 2 – 4 предложениями;слушает стихи, сказки, небольшие рассказы без наглядного сопровождения.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2 балла – ребенок с небольшой задержкой отвечает на вопросы; не всегда использует слова обозначающие цвет, величину, действие; рассказывает об увиденном 1-2 предложениями;слушает стихи, сказки, небольшие рассказы, но просит показывать иллюстрации.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1 балл – ребенок не может ответить на вопросы; использует односложные предложения; не может рассказать об увиденном;не может слушать стихи, сказки, небольшие рассказы без наглядного сопровождения.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 xml:space="preserve"> «Социально-нравственное».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Материал: игрушки: куклы разных размеров, машинки разных размеров, коляски, игрушечная посуда, кубики разных цветов, конструктор </w:t>
      </w:r>
      <w:r>
        <w:rPr>
          <w:rFonts w:ascii="Times New Roman" w:cs="Times New Roman" w:hAnsi="Times New Roman"/>
          <w:sz w:val="24"/>
          <w:szCs w:val="28"/>
        </w:rPr>
        <w:t>разных размеров, резиновые игрушки. Сюжетно-ролевые игры: «Парикмахерская», «Магазин», «Доктор». Театры: настольный, бибабо, для фланелеграфа. Картинки с изображением играющих детей.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3 балла – ребенок может осуществить перенос действий с предмета на предмет; использует в игре предметы заменители; сопровождает речью  самостоятельную  игру.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 2 балла – ребенок не всегда может перенести действие с предмета на предмет; не всегда использует предметы заменители; самостоятельную игру сопровождает отдельными предложениями.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1 балл – ребенок не осуществляет перенос действий с предмета на предмет; не использует предметы заменители; не сопровождает речью самостоятельную игру.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Образовательная область «Чтение художественной литературы».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Материал: книги со стихами и сказками, иллюстрации в книгах, картины, картинки с изображением детей и взрослых, которые читают книги.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3 балла – ребенок проговаривает слова, небольшие фразы при повторном чтении; рассматривает иллюстрации в знакомых книгах.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2 балла – ребенок внимательно слушает повторное чтение; рассматривает иллюстрации.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1 балл – ребенок не слушает чтение; не интересуется иллюстрациями в  книгах.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>«Художественно-эстетическое развитие».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Материал: карандаши, фломастеры, кисти, краски, альбомные листы, штампы, пластилин, стеки, глина, книжки-раскраски, шаблоны, дидактические игры на развитие цвета, внимания, памяти; ноты, пианино, магнитофон, музыкальные инструменты: погремушки, бубны, бубенчики, ложки, колокольчики, платочки. Дидактические игры на развитие чувства ритма, звука, «Угадай инструмент».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3 балла – ребенок различает основные цвета; держит кисть и лист бумаги правильно; может изобразить простейшие предметы; знает пластилин и может вылепить не сложные предметы; подпевает в песни некоторые фразы; двигается в соответствии с характером музыки, может выполнить не сложные действия.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2 балла – ребенок путается в основных цветах; при помощи взрослого может удерживать кисть; с помощью воспитателя может вылепить не сложные предметы; подпевает отдельные слова; не всегда попадает в такт музыки. 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1 балл – ребенок не знает основных цветов; не может держать кисть в руке; не может вылепить простейшие предметы; не подпевает; не двигается в соответствии с характером музыки.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 xml:space="preserve"> «Физическое развитие».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Материал: мячи, веревочки, кубики, обручи, кегли, ворота, султанчики.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3 балла – ребенок может ходить и бегать, не наталкиваясь на других детей; может прыгать на двух ногах на месте и с продвижением вперед; может выполнять действия с мячом; может ползать и подлезать под натянутую веревку.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2 балла – ребенок может ходить и бегать, иногда наталкиваясь на других детей; может прыгать на двух ногах без продвижения вперед; выполняет не все действия с мячом; может ползать, но не подлезает под натянутую веревку.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1 балл – ребенок ходит и бегает, наталкиваясь на других детей; прыгает на двух ногах; не справляется с мячом; может ползать.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 xml:space="preserve"> «Здоровье».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Материал: схемы: одевания и раздевания, умывания. Потешки и заклички. Картинки с изображением одевающихся детей, умывающихся детей. Полотенце, мыло, салфетки, ложки, тарелки.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3 балла – ребенок может самостоятельно пользоваться полотенцем, носовым платком, салфеткой; умеет здороваться и прощаться, обращаться с просьбой к взрослому; может одеваться и раздеваться в определенной последовательности;  правильно держит ложку, может принимать твердую и жидкую пищу.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2 балла – ребенок пользуется полотенцем, носовым платком; здоровается и прощается после напоминания; одевается и раздевается с небольшой помощью взрослого; иногда держит ложку не правильно, принимает жидкую и твердую пищу.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1 балл – ребенок не пользуется полотенцем и носовым платком; не здоровается; не одевается и не раздевается; держит ложку не правильно, принимает жидкую и твердую пищу.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b/>
          <w:sz w:val="24"/>
          <w:szCs w:val="28"/>
        </w:rPr>
      </w:pPr>
      <w:r>
        <w:rPr>
          <w:rFonts w:ascii="Times New Roman" w:cs="Times New Roman" w:hAnsi="Times New Roman"/>
          <w:b/>
          <w:sz w:val="24"/>
          <w:szCs w:val="28"/>
        </w:rPr>
        <w:t>«Безопасность».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Материал: дидактический материал по безопасности в саду, на улице, дома. Комнатные растения. Игрушки домашних и диких животных. Картинки с изображением людей, которые ухаживают за животными и растениями. Дидактическая игра «Осторожно дорога!». Конструктор, транспортные игрушки, светофор, картинки с изображением движущихся машин и переходящих дорогу людей.</w:t>
      </w:r>
    </w:p>
    <w:p>
      <w:pPr>
        <w:spacing w:after="0"/>
        <w:ind w:firstLine="1134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3 балла – ребенок соблюдает элементарные правила поведения в детском саду; соблюдает элементарные правила взаимодействия с растениями и животными;</w:t>
      </w:r>
      <w:r>
        <w:rPr>
          <w:rFonts w:ascii="Times New Roman" w:hAnsi="Times New Roman"/>
          <w:sz w:val="24"/>
          <w:szCs w:val="28"/>
        </w:rPr>
        <w:t>имеет элементарные представления о правилах дорожного движения.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 балла – ребенок иногда нарушает правила поведения в детском саду; не всегда </w:t>
      </w:r>
      <w:r>
        <w:rPr>
          <w:rFonts w:ascii="Times New Roman" w:cs="Times New Roman" w:hAnsi="Times New Roman"/>
          <w:sz w:val="24"/>
          <w:szCs w:val="28"/>
        </w:rPr>
        <w:t>соблюдает элементарные правила взаимодействия с растениями и животными; не знает некоторые правила дорожного движения.</w:t>
      </w:r>
    </w:p>
    <w:p>
      <w:pPr>
        <w:spacing w:after="0"/>
        <w:ind w:firstLine="1134"/>
        <w:jc w:val="both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>1 балл – ребенок не соблюдает элементарные правила поведения в детском саду; не соблюдает элементарные правила взаимодействия с растениями и животными; не знает элементарные правила дорожного движения.</w:t>
      </w:r>
    </w:p>
    <w:p/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3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3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3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4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</cp:coreProperties>
</file>