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pPr>
        <w:numPr>
          <w:numId w:val="0"/>
        </w:numPr>
        <w:spacing w:after="0" w:line="240" w:lineRule="auto"/>
        <w:ind w:left="0" w:firstLine="1854"/>
        <w:jc w:val="both"/>
        <w:rPr>
          <w:rFonts w:ascii="Times New Roman" w:cs="Times New Roman" w:eastAsia="Times New Roman" w:hAnsi="Times New Roman"/>
          <w:sz w:val="24"/>
          <w:szCs w:val="28"/>
          <w:lang w:eastAsia="ru-RU"/>
        </w:rPr>
      </w:pPr>
    </w:p>
    <w:p>
      <w:pPr>
        <w:spacing w:after="0" w:line="240" w:lineRule="auto"/>
        <w:ind w:firstLine="1134"/>
        <w:contextualSpacing w:val="on"/>
        <w:jc w:val="both"/>
        <w:rPr>
          <w:rFonts w:ascii="Times New Roman" w:cs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sz w:val="24"/>
          <w:szCs w:val="28"/>
          <w:lang w:eastAsia="ru-RU"/>
        </w:rPr>
        <w:t xml:space="preserve">Оценка уровня овладения ребенком необходимыми навыками и умениями по образовательным областям: </w:t>
      </w:r>
    </w:p>
    <w:p>
      <w:pPr>
        <w:spacing w:after="0" w:line="240" w:lineRule="auto"/>
        <w:ind w:firstLine="1134"/>
        <w:contextualSpacing w:val="on"/>
        <w:jc w:val="both"/>
        <w:rPr>
          <w:rFonts w:ascii="Times New Roman" w:cs="Times New Roman" w:eastAsia="Times New Roman" w:hAnsi="Times New Roman"/>
          <w:b/>
          <w:sz w:val="24"/>
          <w:szCs w:val="28"/>
          <w:lang w:eastAsia="ru-RU"/>
        </w:rPr>
      </w:pPr>
    </w:p>
    <w:p>
      <w:pPr>
        <w:spacing w:after="0" w:line="240" w:lineRule="auto"/>
        <w:ind w:firstLine="1134"/>
        <w:jc w:val="both"/>
        <w:rPr>
          <w:rFonts w:ascii="Times New Roman" w:cs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8"/>
          <w:lang w:eastAsia="ru-RU"/>
        </w:rPr>
        <w:t>1 балл –ребенок с помощью взрослого выполняет все  предложенные задания; ребенок имеет частично усвоенные, неточные, неполные представленя по указанному критерию</w:t>
      </w:r>
    </w:p>
    <w:p>
      <w:pPr>
        <w:numPr>
          <w:ilvl w:val="0"/>
          <w:numId w:val="2"/>
        </w:numPr>
        <w:spacing w:after="0" w:line="240" w:lineRule="auto"/>
        <w:ind w:left="0" w:firstLine="1134"/>
        <w:contextualSpacing w:val="on"/>
        <w:jc w:val="both"/>
        <w:rPr>
          <w:rFonts w:ascii="Times New Roman" w:cs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8"/>
          <w:lang w:eastAsia="ru-RU"/>
        </w:rPr>
        <w:t>2 балла – ребенок выполняет задания самостоятельно   с частичной помощью взрослого; ребенок имеет  усвоенные с незначительным неточностями представления по указанному критерию;</w:t>
      </w:r>
    </w:p>
    <w:p>
      <w:pPr>
        <w:numPr>
          <w:ilvl w:val="0"/>
          <w:numId w:val="3"/>
        </w:numPr>
        <w:spacing w:after="0" w:line="240" w:lineRule="auto"/>
        <w:ind w:left="0" w:firstLine="1134"/>
        <w:contextualSpacing w:val="on"/>
        <w:jc w:val="both"/>
        <w:rPr>
          <w:rFonts w:ascii="Times New Roman" w:cs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4"/>
          <w:szCs w:val="28"/>
          <w:lang w:eastAsia="ru-RU"/>
        </w:rPr>
        <w:t>3 балла – ребенок выполняет  все предложенные задания самостоятельно; ребенок имеет полностью усвоенные представления по указанно</w:t>
      </w:r>
      <w:r>
        <w:rPr>
          <w:rFonts w:ascii="Times New Roman" w:cs="Times New Roman" w:eastAsia="Times New Roman" w:hAnsi="Times New Roman"/>
          <w:sz w:val="24"/>
          <w:szCs w:val="28"/>
          <w:lang w:eastAsia="ru-RU"/>
        </w:rPr>
        <w:t>вления по указанному критерию</w:t>
      </w:r>
    </w:p>
    <w:p>
      <w:pPr>
        <w:spacing w:after="0"/>
        <w:ind w:firstLine="1134"/>
        <w:jc w:val="both"/>
        <w:rPr>
          <w:rFonts w:ascii="Times New Roman" w:cs="Times New Roman" w:eastAsia="Calibri" w:hAnsi="Times New Roman"/>
          <w:sz w:val="24"/>
          <w:szCs w:val="28"/>
        </w:rPr>
      </w:pPr>
      <w:r>
        <w:rPr>
          <w:rFonts w:ascii="Times New Roman" w:cs="Times New Roman" w:eastAsia="Calibri" w:hAnsi="Times New Roman"/>
          <w:sz w:val="24"/>
          <w:szCs w:val="28"/>
        </w:rPr>
        <w:t>Оценка индивидуального  развития детей производится в рамках педагогической диагностики по областям:</w:t>
      </w:r>
    </w:p>
    <w:tbl>
      <w:tblPr>
        <w:tblW w:w="0" w:type="auto"/>
        <w:tblInd w:w="-39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  <w:tblLook w:val="04A0"/>
      </w:tblPr>
      <w:tblGrid>
        <w:gridCol w:w="2025"/>
        <w:gridCol w:w="7909"/>
      </w:tblGrid>
      <w:tr>
        <w:trPr/>
        <w:tc>
          <w:tcPr>
            <w:cnfStyle w:val="101000000000"/>
            <w:tcW w:w="2025" w:type="dxa"/>
            <w:shd w:val="clear" w:color="auto" w:fill="auto"/>
          </w:tcPr>
          <w:p>
            <w:pPr>
              <w:spacing w:after="0" w:line="240" w:lineRule="auto"/>
              <w:ind w:firstLine="1134"/>
              <w:jc w:val="both"/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cnfStyle w:val="100000000000"/>
            <w:tcW w:w="7909" w:type="dxa"/>
            <w:shd w:val="clear" w:color="auto" w:fill="auto"/>
          </w:tcPr>
          <w:p>
            <w:pPr>
              <w:spacing w:after="0" w:line="240" w:lineRule="auto"/>
              <w:ind w:left="-62" w:firstLine="2330"/>
              <w:jc w:val="both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8"/>
                <w:lang w:eastAsia="ru-RU"/>
              </w:rPr>
              <w:t>Образовательные области</w:t>
            </w:r>
          </w:p>
        </w:tc>
      </w:tr>
      <w:tr>
        <w:trPr/>
        <w:tc>
          <w:tcPr>
            <w:cnfStyle w:val="001000100000"/>
            <w:tcW w:w="202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Физическое развитие</w:t>
            </w:r>
          </w:p>
        </w:tc>
        <w:tc>
          <w:tcPr>
            <w:cnfStyle w:val="000000100000"/>
            <w:tcW w:w="7909" w:type="dxa"/>
            <w:shd w:val="clear" w:color="auto" w:fill="auto"/>
          </w:tcPr>
          <w:p>
            <w:p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Физическая культура</w:t>
            </w:r>
          </w:p>
          <w:p>
            <w:p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</w:p>
        </w:tc>
      </w:tr>
      <w:tr>
        <w:trPr/>
        <w:tc>
          <w:tcPr>
            <w:cnfStyle w:val="001000010000"/>
            <w:tcW w:w="2025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Познание</w:t>
            </w:r>
          </w:p>
        </w:tc>
        <w:tc>
          <w:tcPr>
            <w:cnfStyle w:val="000000010000"/>
            <w:tcW w:w="7909" w:type="dxa"/>
            <w:shd w:val="clear" w:color="auto" w:fill="auto"/>
          </w:tcPr>
          <w:p>
            <w:pPr>
              <w:numPr>
                <w:ilvl w:val="0"/>
                <w:numId w:val="4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Формирование элементарных математических представлений</w:t>
            </w:r>
          </w:p>
          <w:p>
            <w:pPr>
              <w:numPr>
                <w:ilvl w:val="0"/>
                <w:numId w:val="4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Конструирование</w:t>
            </w:r>
          </w:p>
          <w:p>
            <w:pPr>
              <w:numPr>
                <w:ilvl w:val="0"/>
                <w:numId w:val="4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Безопасность</w:t>
            </w:r>
          </w:p>
          <w:p>
            <w:pPr>
              <w:numPr>
                <w:ilvl w:val="0"/>
                <w:numId w:val="4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Экологическое развитие</w:t>
            </w:r>
          </w:p>
          <w:p>
            <w:pPr>
              <w:numPr>
                <w:ilvl w:val="0"/>
                <w:numId w:val="4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Ребенок и предметный мир</w:t>
            </w:r>
          </w:p>
          <w:p>
            <w:pPr>
              <w:spacing w:after="0" w:line="240" w:lineRule="auto"/>
              <w:ind w:left="-62" w:firstLine="708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>
        <w:trPr/>
        <w:tc>
          <w:tcPr>
            <w:cnfStyle w:val="001000100000"/>
            <w:tcW w:w="202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Речевое развитие</w:t>
            </w:r>
          </w:p>
        </w:tc>
        <w:tc>
          <w:tcPr>
            <w:cnfStyle w:val="000000100000"/>
            <w:tcW w:w="7909" w:type="dxa"/>
            <w:shd w:val="clear" w:color="auto" w:fill="auto"/>
          </w:tcPr>
          <w:p>
            <w:pPr>
              <w:numPr>
                <w:ilvl w:val="0"/>
                <w:numId w:val="5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Развитие речи</w:t>
            </w:r>
          </w:p>
          <w:p>
            <w:pPr>
              <w:numPr>
                <w:ilvl w:val="0"/>
                <w:numId w:val="5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Ознакомление с художественной литературой</w:t>
            </w:r>
          </w:p>
          <w:p>
            <w:pPr>
              <w:numPr>
                <w:ilvl w:val="0"/>
                <w:numId w:val="5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Ребенок и предметный мир</w:t>
            </w:r>
          </w:p>
          <w:p>
            <w:pPr>
              <w:spacing w:after="0" w:line="240" w:lineRule="auto"/>
              <w:ind w:left="-62" w:firstLine="708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>
        <w:trPr/>
        <w:tc>
          <w:tcPr>
            <w:cnfStyle w:val="001000010000"/>
            <w:tcW w:w="202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cnfStyle w:val="000000010000"/>
            <w:tcW w:w="7909" w:type="dxa"/>
            <w:shd w:val="clear" w:color="auto" w:fill="auto"/>
          </w:tcPr>
          <w:p>
            <w:pPr>
              <w:numPr>
                <w:ilvl w:val="0"/>
                <w:numId w:val="6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 xml:space="preserve">Музыкальное развитие </w:t>
            </w:r>
          </w:p>
          <w:p>
            <w:pPr>
              <w:numPr>
                <w:ilvl w:val="0"/>
                <w:numId w:val="6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Изобразительная деятельность</w:t>
            </w:r>
          </w:p>
          <w:p>
            <w:pPr>
              <w:numPr>
                <w:ilvl w:val="0"/>
                <w:numId w:val="7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Лепка</w:t>
            </w:r>
          </w:p>
          <w:p>
            <w:pPr>
              <w:numPr>
                <w:ilvl w:val="0"/>
                <w:numId w:val="7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Рисование</w:t>
            </w:r>
          </w:p>
          <w:p>
            <w:pPr>
              <w:numPr>
                <w:ilvl w:val="0"/>
                <w:numId w:val="7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аппликация</w:t>
            </w:r>
          </w:p>
          <w:p>
            <w:pPr>
              <w:spacing w:after="0" w:line="240" w:lineRule="auto"/>
              <w:ind w:left="-62" w:firstLine="708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>
        <w:trPr/>
        <w:tc>
          <w:tcPr>
            <w:cnfStyle w:val="001000100000"/>
            <w:tcW w:w="2025" w:type="dxa"/>
            <w:shd w:val="clear" w:color="auto" w:fill="auto"/>
          </w:tcPr>
          <w:p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8"/>
                <w:lang w:eastAsia="ru-RU"/>
              </w:rPr>
              <w:t>Социально-коммуникативное</w:t>
            </w:r>
          </w:p>
        </w:tc>
        <w:tc>
          <w:tcPr>
            <w:cnfStyle w:val="000000100000"/>
            <w:tcW w:w="7909" w:type="dxa"/>
            <w:shd w:val="clear" w:color="auto" w:fill="auto"/>
          </w:tcPr>
          <w:p>
            <w:pPr>
              <w:numPr>
                <w:ilvl w:val="0"/>
                <w:numId w:val="8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Безопасность</w:t>
            </w:r>
          </w:p>
          <w:p>
            <w:pPr>
              <w:numPr>
                <w:ilvl w:val="0"/>
                <w:numId w:val="8"/>
              </w:numPr>
              <w:spacing w:after="0" w:line="240" w:lineRule="auto"/>
              <w:ind w:left="-62" w:firstLine="708"/>
              <w:rPr>
                <w:rFonts w:ascii="Times New Roman" w:cs="Times New Roman" w:eastAsia="Calibri" w:hAnsi="Times New Roman"/>
                <w:sz w:val="24"/>
                <w:szCs w:val="28"/>
              </w:rPr>
            </w:pPr>
            <w:r>
              <w:rPr>
                <w:rFonts w:ascii="Times New Roman" w:cs="Times New Roman" w:eastAsia="Calibri" w:hAnsi="Times New Roman"/>
                <w:sz w:val="24"/>
                <w:szCs w:val="28"/>
              </w:rPr>
              <w:t>Социально-нравственное развитие</w:t>
            </w:r>
          </w:p>
        </w:tc>
      </w:tr>
      <w:tr>
        <w:trPr/>
        <w:tc>
          <w:tcPr>
            <w:cnfStyle w:val="001000010000"/>
            <w:tcW w:w="9934" w:type="dxa"/>
            <w:gridSpan w:val="2"/>
            <w:tcBorders>
              <w:left w:val="nil" w:sz="4"/>
              <w:bottom w:val="nil" w:sz="4"/>
              <w:right w:val="nil" w:sz="4"/>
            </w:tcBorders>
            <w:shd w:val="clear" w:color="auto" w:fill="auto"/>
          </w:tcPr>
          <w:p>
            <w:pPr>
              <w:spacing w:after="0" w:line="240" w:lineRule="auto"/>
              <w:ind w:firstLine="1134"/>
              <w:jc w:val="both"/>
              <w:rPr>
                <w:rFonts w:ascii="Times New Roman" w:cs="Times New Roman" w:eastAsia="Calibri" w:hAnsi="Times New Roman"/>
                <w:sz w:val="24"/>
                <w:szCs w:val="28"/>
              </w:rPr>
            </w:pPr>
          </w:p>
        </w:tc>
      </w:tr>
    </w:tbl>
    <w:p>
      <w:pPr>
        <w:spacing w:after="0"/>
        <w:ind w:firstLine="1134"/>
        <w:jc w:val="both"/>
        <w:rPr>
          <w:rFonts w:ascii="Times New Roman" w:cs="Times New Roman" w:hAnsi="Times New Roman"/>
          <w:b/>
          <w:sz w:val="24"/>
          <w:szCs w:val="28"/>
        </w:rPr>
      </w:pPr>
      <w:r>
        <w:rPr>
          <w:rFonts w:ascii="Times New Roman" w:cs="Times New Roman" w:hAnsi="Times New Roman"/>
          <w:b/>
          <w:sz w:val="24"/>
          <w:szCs w:val="28"/>
        </w:rPr>
        <w:t>Критерии оценки, инструментарий.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3 балла – высокий уровень развития.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2 балла – средний уровень развития.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1 балл– низкий уровень развития.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b/>
          <w:sz w:val="24"/>
          <w:szCs w:val="28"/>
        </w:rPr>
        <w:t xml:space="preserve"> «Познание»</w:t>
      </w:r>
      <w:r>
        <w:rPr>
          <w:rFonts w:ascii="Times New Roman" w:cs="Times New Roman" w:hAnsi="Times New Roman"/>
          <w:sz w:val="24"/>
          <w:szCs w:val="28"/>
        </w:rPr>
        <w:t xml:space="preserve"> (ознакомление с окружающей средой).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 xml:space="preserve">Материал: парные картинки,разрезные картинки, крупная мозаика, пирамиды разных размеров, цветные шары разных размеров, ведерки, кубики, раздаточный материал (зайки, мишки, морковки, шишки и т.д.). </w:t>
      </w:r>
      <w:r>
        <w:rPr>
          <w:rFonts w:ascii="Times New Roman" w:cs="Times New Roman" w:hAnsi="Times New Roman"/>
          <w:sz w:val="24"/>
          <w:szCs w:val="28"/>
        </w:rPr>
        <w:t>Дидактические игры: «Найди игрушку», «Что это?», «Какой это фрукт (овощ)?», «Когда это бывает?», на развитие внимания, мышления, сенсорики. Муляжи овощей и фруктов. Фигурки домашних и диких животных. Картинки с сезонными явлениями природы. Мозаика, магнитная мозаика, магнитная доска.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 xml:space="preserve">Критерии оценки: 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3 балла – ребенок самостоятельно подбирает и складывает парные картинки, может сложить узор по образцу; сравнивает и подбирает предметы по величине, размеру, цвету; различает и называет строительный материал, может выполнить простейшие постройки и обыграть их.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2 балла – ребенок с помощью воспитателя складывает парные картинки, с подсказками складывает узор; не уверенно подбирает предметы по величине, размеру, цвету; путается в названии строительного материала, выполняет постройки по образцу.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1 балл – ребенок не может подобрать и сложить картинки, выполнить узор по образцу; не может подобрать предметы по величине, размеру, цвету; не знает строительного материала, с трудом выполняет простейшие постройки, но не может их обыграть.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b/>
          <w:sz w:val="24"/>
          <w:szCs w:val="28"/>
        </w:rPr>
      </w:pPr>
      <w:r>
        <w:rPr>
          <w:rFonts w:ascii="Times New Roman" w:cs="Times New Roman" w:hAnsi="Times New Roman"/>
          <w:b/>
          <w:sz w:val="24"/>
          <w:szCs w:val="28"/>
        </w:rPr>
        <w:t xml:space="preserve"> «Речевое развитие».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 xml:space="preserve">Материал: книги со стихами и сказками, иллюстрации в книгах, картины, игрушечные мишки, зайчики, и др. звери, куклы с закрывающимися глазами, парные игрушки. Картинки с сезонными изменениями природы, разрезные картинки, парные картинки. Дидактические игры на развитие внимания, памяти, сенсорики. Театры: настольный, плоскостной, для фланелеграфа. </w:t>
      </w:r>
    </w:p>
    <w:p>
      <w:pPr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3 балла – ребенок без затруднений отвечает на поставленные вопросы; в предложениях использует слова обозначающие цвет, величину, действие; может рассказать об увиденном 2 – 4 предложениями;слушает стихи, сказки, небольшие рассказы без наглядного сопровождения.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2 балла – ребенок с небольшой задержкой отвечает на вопросы; не всегда использует слова обозначающие цвет, величину, действие; рассказывает об увиденном 1-2 предложениями;слушает стихи, сказки, небольшие рассказы, но просит показывать иллюстрации.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1 балл – ребенок не может ответить на вопросы; использует односложные предложения; не может рассказать об увиденном;не может слушать стихи, сказки, небольшие рассказы без наглядного сопровождения.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b/>
          <w:sz w:val="24"/>
          <w:szCs w:val="28"/>
        </w:rPr>
      </w:pPr>
      <w:r>
        <w:rPr>
          <w:rFonts w:ascii="Times New Roman" w:cs="Times New Roman" w:hAnsi="Times New Roman"/>
          <w:b/>
          <w:sz w:val="24"/>
          <w:szCs w:val="28"/>
        </w:rPr>
        <w:t xml:space="preserve"> «Социально-нравственное».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 xml:space="preserve">Материал: игрушки: куклы разных размеров, машинки разных размеров, коляски, игрушечная посуда, кубики разных цветов, конструктор </w:t>
      </w:r>
      <w:r>
        <w:rPr>
          <w:rFonts w:ascii="Times New Roman" w:cs="Times New Roman" w:hAnsi="Times New Roman"/>
          <w:sz w:val="24"/>
          <w:szCs w:val="28"/>
        </w:rPr>
        <w:t>разных размеров, резиновые игрушки. Сюжетно-ролевые игры: «Парикмахерская», «Магазин», «Доктор». Театры: настольный, бибабо, для фланелеграфа. Картинки с изображением играющих детей.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3 балла – ребенок может осуществить перенос действий с предмета на предмет; использует в игре предметы заменители; сопровождает речью  самостоятельную  игру.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 xml:space="preserve"> 2 балла – ребенок не всегда может перенести действие с предмета на предмет; не всегда использует предметы заменители; самостоятельную игру сопровождает отдельными предложениями.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1 балл – ребенок не осуществляет перенос действий с предмета на предмет; не использует предметы заменители; не сопровождает речью самостоятельную игру.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Образовательная область «Чтение художественной литературы».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Материал: книги со стихами и сказками, иллюстрации в книгах, картины, картинки с изображением детей и взрослых, которые читают книги.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3 балла – ребенок проговаривает слова, небольшие фразы при повторном чтении; рассматривает иллюстрации в знакомых книгах.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2 балла – ребенок внимательно слушает повторное чтение; рассматривает иллюстрации.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1 балл – ребенок не слушает чтение; не интересуется иллюстрациями в  книгах.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b/>
          <w:sz w:val="24"/>
          <w:szCs w:val="28"/>
        </w:rPr>
      </w:pPr>
      <w:r>
        <w:rPr>
          <w:rFonts w:ascii="Times New Roman" w:cs="Times New Roman" w:hAnsi="Times New Roman"/>
          <w:b/>
          <w:sz w:val="24"/>
          <w:szCs w:val="28"/>
        </w:rPr>
        <w:t>«Художественно-эстетическое развитие».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Материал: карандаши, фломастеры, кисти, краски, альбомные листы, штампы, пластилин, стеки, глина, книжки-раскраски, шаблоны, дидактические игры на развитие цвета, внимания, памяти; ноты, пианино, магнитофон, музыкальные инструменты: погремушки, бубны, бубенчики, ложки, колокольчики, платочки. Дидактические игры на развитие чувства ритма, звука, «Угадай инструмент».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3 балла – ребенок различает основные цвета; держит кисть и лист бумаги правильно; может изобразить простейшие предметы; знает пластилин и может вылепить не сложные предметы; подпевает в песни некоторые фразы; двигается в соответствии с характером музыки, может выполнить не сложные действия.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 xml:space="preserve">2 балла – ребенок путается в основных цветах; при помощи взрослого может удерживать кисть; с помощью воспитателя может вылепить не сложные предметы; подпевает отдельные слова; не всегда попадает в такт музыки. 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1 балл – ребенок не знает основных цветов; не может держать кисть в руке; не может вылепить простейшие предметы; не подпевает; не двигается в соответствии с характером музыки.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b/>
          <w:sz w:val="24"/>
          <w:szCs w:val="28"/>
        </w:rPr>
      </w:pPr>
      <w:r>
        <w:rPr>
          <w:rFonts w:ascii="Times New Roman" w:cs="Times New Roman" w:hAnsi="Times New Roman"/>
          <w:b/>
          <w:sz w:val="24"/>
          <w:szCs w:val="28"/>
        </w:rPr>
        <w:t xml:space="preserve"> «Физическое развитие».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Материал: мячи, веревочки, кубики, обручи, кегли, ворота, султанчики.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3 балла – ребенок может ходить и бегать, не наталкиваясь на других детей; может прыгать на двух ногах на месте и с продвижением вперед; может выполнять действия с мячом; может ползать и подлезать под натянутую веревку.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2 балла – ребенок может ходить и бегать, иногда наталкиваясь на других детей; может прыгать на двух ногах без продвижения вперед; выполняет не все действия с мячом; может ползать, но не подлезает под натянутую веревку.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1 балл – ребенок ходит и бегает, наталкиваясь на других детей; прыгает на двух ногах; не справляется с мячом; может ползать.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b/>
          <w:sz w:val="24"/>
          <w:szCs w:val="28"/>
        </w:rPr>
      </w:pPr>
      <w:r>
        <w:rPr>
          <w:rFonts w:ascii="Times New Roman" w:cs="Times New Roman" w:hAnsi="Times New Roman"/>
          <w:b/>
          <w:sz w:val="24"/>
          <w:szCs w:val="28"/>
        </w:rPr>
        <w:t xml:space="preserve"> «Здоровье».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Материал: схемы: одевания и раздевания, умывания. Потешки и заклички. Картинки с изображением одевающихся детей, умывающихся детей. Полотенце, мыло, салфетки, ложки, тарелки.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3 балла – ребенок может самостоятельно пользоваться полотенцем, носовым платком, салфеткой; умеет здороваться и прощаться, обращаться с просьбой к взрослому; может одеваться и раздеваться в определенной последовательности;  правильно держит ложку, может принимать твердую и жидкую пищу.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2 балла – ребенок пользуется полотенцем, носовым платком; здоровается и прощается после напоминания; одевается и раздевается с небольшой помощью взрослого; иногда держит ложку не правильно, принимает жидкую и твердую пищу.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1 балл – ребенок не пользуется полотенцем и носовым платком; не здоровается; не одевается и не раздевается; держит ложку не правильно, принимает жидкую и твердую пищу.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b/>
          <w:sz w:val="24"/>
          <w:szCs w:val="28"/>
        </w:rPr>
      </w:pPr>
      <w:r>
        <w:rPr>
          <w:rFonts w:ascii="Times New Roman" w:cs="Times New Roman" w:hAnsi="Times New Roman"/>
          <w:b/>
          <w:sz w:val="24"/>
          <w:szCs w:val="28"/>
        </w:rPr>
        <w:t>«Безопасность».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Материал: дидактический материал по безопасности в саду, на улице, дома. Комнатные растения. Игрушки домашних и диких животных. Картинки с изображением людей, которые ухаживают за животными и растениями. Дидактическая игра «Осторожно дорога!». Конструктор, транспортные игрушки, светофор, картинки с изображением движущихся машин и переходящих дорогу людей.</w:t>
      </w:r>
    </w:p>
    <w:p>
      <w:pPr>
        <w:spacing w:after="0"/>
        <w:ind w:firstLine="1134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3 балла – ребенок соблюдает элементарные правила поведения в детском саду; соблюдает элементарные правила взаимодействия с растениями и животными;</w:t>
      </w:r>
      <w:r>
        <w:rPr>
          <w:rFonts w:ascii="Times New Roman" w:hAnsi="Times New Roman"/>
          <w:sz w:val="24"/>
          <w:szCs w:val="28"/>
        </w:rPr>
        <w:t>имеет элементарные представления о правилах дорожного движения.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2 балла – ребенок иногда нарушает правила поведения в детском саду; не всегда </w:t>
      </w:r>
      <w:r>
        <w:rPr>
          <w:rFonts w:ascii="Times New Roman" w:cs="Times New Roman" w:hAnsi="Times New Roman"/>
          <w:sz w:val="24"/>
          <w:szCs w:val="28"/>
        </w:rPr>
        <w:t>соблюдает элементарные правила взаимодействия с растениями и животными; не знает некоторые правила дорожного движения.</w:t>
      </w:r>
    </w:p>
    <w:p>
      <w:pPr>
        <w:spacing w:after="0"/>
        <w:ind w:firstLine="1134"/>
        <w:jc w:val="both"/>
        <w:rPr>
          <w:rFonts w:ascii="Times New Roman" w:cs="Times New Roman" w:hAnsi="Times New Roman"/>
          <w:sz w:val="24"/>
          <w:szCs w:val="28"/>
        </w:rPr>
      </w:pPr>
      <w:r>
        <w:rPr>
          <w:rFonts w:ascii="Times New Roman" w:cs="Times New Roman" w:hAnsi="Times New Roman"/>
          <w:sz w:val="24"/>
          <w:szCs w:val="28"/>
        </w:rPr>
        <w:t>1 балл – ребенок не соблюдает элементарные правила поведения в детском саду; не соблюдает элементарные правила взаимодействия с растениями и животными; не знает элементарные правила дорожного движения.</w:t>
      </w:r>
    </w:p>
    <w:p/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abstractNum w:abstractNumId="0">
    <w:multiLevelType w:val="hybridMultilevel"/>
    <w:lvl w:ilvl="0">
      <w:start w:val="3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3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3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4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HAns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</cp:coreProperties>
</file>