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BB" w:rsidRDefault="00CE1EBB" w:rsidP="00CE1EBB">
      <w:pPr>
        <w:spacing w:after="0" w:line="240" w:lineRule="auto"/>
        <w:ind w:right="17" w:firstLine="42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МОНИТОРИНГ 2021-2024г</w:t>
      </w:r>
    </w:p>
    <w:p w:rsidR="00CE1EBB" w:rsidRDefault="00CE1EBB" w:rsidP="00CE1EBB">
      <w:pPr>
        <w:spacing w:after="0" w:line="240" w:lineRule="auto"/>
        <w:ind w:right="17" w:firstLine="426"/>
        <w:jc w:val="center"/>
        <w:rPr>
          <w:rFonts w:ascii="Times New Roman" w:eastAsia="Times New Roman" w:hAnsi="Times New Roman" w:cs="Times New Roman"/>
          <w:b/>
        </w:rPr>
      </w:pPr>
    </w:p>
    <w:p w:rsidR="00CE1EBB" w:rsidRPr="000E07CE" w:rsidRDefault="00CE1EBB" w:rsidP="00CE1EBB">
      <w:pPr>
        <w:spacing w:after="0" w:line="240" w:lineRule="auto"/>
        <w:ind w:right="17" w:firstLine="426"/>
        <w:jc w:val="both"/>
        <w:rPr>
          <w:rFonts w:ascii="Times New Roman" w:eastAsia="Times New Roman" w:hAnsi="Times New Roman" w:cs="Times New Roman"/>
        </w:rPr>
      </w:pPr>
      <w:r w:rsidRPr="000E07CE">
        <w:rPr>
          <w:rFonts w:ascii="Times New Roman" w:eastAsia="Times New Roman" w:hAnsi="Times New Roman" w:cs="Times New Roman"/>
          <w:b/>
        </w:rPr>
        <w:t>Стабильные положительные результаты освоения во</w:t>
      </w:r>
      <w:r>
        <w:rPr>
          <w:rFonts w:ascii="Times New Roman" w:eastAsia="Times New Roman" w:hAnsi="Times New Roman" w:cs="Times New Roman"/>
          <w:b/>
        </w:rPr>
        <w:t xml:space="preserve">спитанниками </w:t>
      </w:r>
      <w:r w:rsidRPr="000E07CE">
        <w:rPr>
          <w:rFonts w:ascii="Times New Roman" w:eastAsia="Times New Roman" w:hAnsi="Times New Roman" w:cs="Times New Roman"/>
          <w:b/>
        </w:rPr>
        <w:t xml:space="preserve"> основной образовательной программы по итогам мониторингов, проводимых организацией </w:t>
      </w:r>
      <w:r w:rsidRPr="000E07CE">
        <w:rPr>
          <w:rFonts w:ascii="Times New Roman" w:eastAsia="Times New Roman" w:hAnsi="Times New Roman" w:cs="Times New Roman"/>
        </w:rPr>
        <w:t>(</w:t>
      </w:r>
      <w:r w:rsidRPr="000E07CE">
        <w:rPr>
          <w:rFonts w:ascii="Times New Roman" w:eastAsia="Times New Roman" w:hAnsi="Times New Roman" w:cs="Times New Roman"/>
          <w:b/>
        </w:rPr>
        <w:t>за три года</w:t>
      </w:r>
      <w:r w:rsidRPr="000E07CE">
        <w:rPr>
          <w:rFonts w:ascii="Times New Roman" w:eastAsia="Times New Roman" w:hAnsi="Times New Roman" w:cs="Times New Roman"/>
        </w:rPr>
        <w:t>)</w:t>
      </w:r>
    </w:p>
    <w:p w:rsidR="00CE1EBB" w:rsidRPr="000E07CE" w:rsidRDefault="00CE1EBB" w:rsidP="00CE1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Вся проводимая работа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детьми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влияет на качество осуществления воспитательно-образовательного процесса. 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>Анализируя результаты диагност</w:t>
      </w:r>
      <w:r>
        <w:rPr>
          <w:rFonts w:ascii="Times New Roman" w:eastAsia="Times New Roman" w:hAnsi="Times New Roman" w:cs="Times New Roman"/>
          <w:sz w:val="24"/>
          <w:szCs w:val="24"/>
        </w:rPr>
        <w:t>ики детей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 xml:space="preserve"> за три года можно сделать вывод, что в развитии детей по различным направлениям наблюдается положительная динамика. Дети, имеющие низкий уровень это или вновь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ришедшие, или дети которые часто пропускают. 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7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проводится в произвольной форме на основе мало формализованных диагностических методов: наблюдение, анализ продуктов детской деятельности, свободные беседы с детьми,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диагностические ситуации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1EBB" w:rsidRPr="000E07CE" w:rsidRDefault="00CE1EBB" w:rsidP="00CE1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07C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Проводилась диагностика по основным образовательным обл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астям и направлениям программы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1EBB" w:rsidRDefault="00CE1EBB" w:rsidP="00CE1EBB">
      <w:pPr>
        <w:spacing w:before="6" w:after="0" w:line="240" w:lineRule="auto"/>
        <w:ind w:right="1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7CE">
        <w:rPr>
          <w:rFonts w:ascii="Times New Roman" w:eastAsia="Times New Roman" w:hAnsi="Times New Roman" w:cs="Times New Roman"/>
          <w:sz w:val="24"/>
          <w:szCs w:val="24"/>
        </w:rPr>
        <w:t>По итогу проведения наблюдения в 2022, 2023, 2024 учебных годах можно сделать вывод, что уровень подготовки детей к школе проходит на высок</w:t>
      </w:r>
      <w:r>
        <w:rPr>
          <w:rFonts w:ascii="Times New Roman" w:eastAsia="Times New Roman" w:hAnsi="Times New Roman" w:cs="Times New Roman"/>
          <w:sz w:val="24"/>
          <w:szCs w:val="24"/>
        </w:rPr>
        <w:t>ом уровне, проводимые занятия, дают свои результаты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>. Дети получают необходимые знания, умения и навыки необходимые в процессе обучения в школе, а также у всех детей стойкая мотивация на обучение в</w:t>
      </w:r>
      <w:r w:rsidRPr="000E07C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CE1EBB" w:rsidRPr="000E07CE" w:rsidRDefault="00CE1EBB" w:rsidP="00CE1EB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Развитие компетенций детей в рамках освоен</w:t>
      </w:r>
      <w:r>
        <w:rPr>
          <w:rFonts w:ascii="Times New Roman" w:eastAsia="Calibri" w:hAnsi="Times New Roman" w:cs="Times New Roman"/>
          <w:b/>
          <w:sz w:val="24"/>
          <w:szCs w:val="24"/>
        </w:rPr>
        <w:t>ия образовательных областей 2021 – 2022</w:t>
      </w: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1EBB" w:rsidRPr="000E07CE" w:rsidRDefault="00CE1EBB" w:rsidP="00CE1EBB">
      <w:pPr>
        <w:spacing w:after="0" w:line="240" w:lineRule="auto"/>
        <w:ind w:left="567" w:righ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Всего обследовано</w:t>
      </w:r>
      <w:r>
        <w:rPr>
          <w:rFonts w:ascii="Times New Roman" w:eastAsia="Calibri" w:hAnsi="Times New Roman" w:cs="Times New Roman"/>
          <w:sz w:val="24"/>
          <w:szCs w:val="24"/>
        </w:rPr>
        <w:t>: 27 дошкольников средней группы</w:t>
      </w:r>
      <w:r w:rsidRPr="000E07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EBB" w:rsidRDefault="00CE1EBB" w:rsidP="00CE1EBB">
      <w:pPr>
        <w:spacing w:after="0" w:line="240" w:lineRule="auto"/>
        <w:ind w:right="7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Дата обсл</w:t>
      </w:r>
      <w:r>
        <w:rPr>
          <w:rFonts w:ascii="Times New Roman" w:eastAsia="Calibri" w:hAnsi="Times New Roman" w:cs="Times New Roman"/>
          <w:sz w:val="24"/>
          <w:szCs w:val="24"/>
        </w:rPr>
        <w:t>едования: входная - октябрь 2021 г., итоговая – май 2022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CE1EBB" w:rsidRDefault="00CE1EBB" w:rsidP="00CE1EBB">
      <w:pPr>
        <w:spacing w:after="0" w:line="240" w:lineRule="auto"/>
        <w:ind w:right="7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41"/>
        <w:gridCol w:w="902"/>
        <w:gridCol w:w="1041"/>
        <w:gridCol w:w="1051"/>
        <w:gridCol w:w="918"/>
        <w:gridCol w:w="925"/>
        <w:gridCol w:w="845"/>
        <w:gridCol w:w="928"/>
        <w:gridCol w:w="1012"/>
        <w:gridCol w:w="900"/>
      </w:tblGrid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92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843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73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12" w:type="dxa"/>
            <w:gridSpan w:val="2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</w:p>
        </w:tc>
        <w:tc>
          <w:tcPr>
            <w:tcW w:w="941" w:type="dxa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2% </w:t>
            </w:r>
          </w:p>
        </w:tc>
        <w:tc>
          <w:tcPr>
            <w:tcW w:w="902" w:type="dxa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41" w:type="dxa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51" w:type="dxa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918" w:type="dxa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25" w:type="dxa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45" w:type="dxa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28" w:type="dxa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012" w:type="dxa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900" w:type="dxa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Default="00CE1EBB" w:rsidP="0046714F">
            <w:pPr>
              <w:spacing w:after="0" w:line="240" w:lineRule="auto"/>
              <w:ind w:right="7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</w:t>
            </w:r>
          </w:p>
        </w:tc>
        <w:tc>
          <w:tcPr>
            <w:tcW w:w="941" w:type="dxa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63%</w:t>
            </w:r>
          </w:p>
        </w:tc>
        <w:tc>
          <w:tcPr>
            <w:tcW w:w="902" w:type="dxa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041" w:type="dxa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51" w:type="dxa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918" w:type="dxa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925" w:type="dxa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845" w:type="dxa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28" w:type="dxa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012" w:type="dxa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00" w:type="dxa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Default="00CE1EBB" w:rsidP="0046714F">
            <w:pPr>
              <w:spacing w:after="0" w:line="240" w:lineRule="auto"/>
              <w:ind w:right="7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941" w:type="dxa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35%</w:t>
            </w:r>
          </w:p>
        </w:tc>
        <w:tc>
          <w:tcPr>
            <w:tcW w:w="902" w:type="dxa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041" w:type="dxa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51" w:type="dxa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18" w:type="dxa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25" w:type="dxa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45" w:type="dxa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28" w:type="dxa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012" w:type="dxa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00" w:type="dxa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</w:tbl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right="70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2021 – 2022 учебный год</w:t>
      </w:r>
    </w:p>
    <w:p w:rsidR="00CE1EBB" w:rsidRPr="000E07CE" w:rsidRDefault="00CE1EBB" w:rsidP="00CE1EBB">
      <w:pPr>
        <w:spacing w:after="0" w:line="240" w:lineRule="auto"/>
        <w:ind w:right="708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E07C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14F984" wp14:editId="71B52387">
            <wp:simplePos x="0" y="0"/>
            <wp:positionH relativeFrom="column">
              <wp:posOffset>937895</wp:posOffset>
            </wp:positionH>
            <wp:positionV relativeFrom="paragraph">
              <wp:posOffset>0</wp:posOffset>
            </wp:positionV>
            <wp:extent cx="4632325" cy="2440940"/>
            <wp:effectExtent l="0" t="0" r="15875" b="16510"/>
            <wp:wrapSquare wrapText="bothSides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59F530E1-59C9-41DF-85C1-4A12925F9B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Физическое развитие.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В ходе диагностики выявлено, что освоенные основные движения </w:t>
      </w:r>
      <w:r>
        <w:rPr>
          <w:rFonts w:ascii="Times New Roman" w:eastAsia="Calibri" w:hAnsi="Times New Roman" w:cs="Times New Roman"/>
          <w:sz w:val="24"/>
          <w:szCs w:val="24"/>
        </w:rPr>
        <w:t>выполняются детьми активно, но не все дети могут выполнять некоторые движения и не слышат команды; в большинстве дети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хорошо реагируют на сигнал и действуют в соо</w:t>
      </w:r>
      <w:r>
        <w:rPr>
          <w:rFonts w:ascii="Times New Roman" w:eastAsia="Calibri" w:hAnsi="Times New Roman" w:cs="Times New Roman"/>
          <w:sz w:val="24"/>
          <w:szCs w:val="24"/>
        </w:rPr>
        <w:t>тветствии с ним; согласно возраста</w:t>
      </w:r>
      <w:r w:rsidRPr="000E07CE">
        <w:rPr>
          <w:rFonts w:ascii="Times New Roman" w:eastAsia="Calibri" w:hAnsi="Times New Roman" w:cs="Times New Roman"/>
          <w:sz w:val="24"/>
          <w:szCs w:val="24"/>
        </w:rPr>
        <w:t>, в прыжках на двух нога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0E07CE">
        <w:rPr>
          <w:rFonts w:ascii="Times New Roman" w:eastAsia="Calibri" w:hAnsi="Times New Roman" w:cs="Times New Roman"/>
          <w:sz w:val="24"/>
          <w:szCs w:val="24"/>
        </w:rPr>
        <w:t>проявляют положительное эмоциональное отношение к двигательной деятельности, самостоятельно воспроизводят ранее освоенные движения. Некотор</w:t>
      </w:r>
      <w:r>
        <w:rPr>
          <w:rFonts w:ascii="Times New Roman" w:eastAsia="Calibri" w:hAnsi="Times New Roman" w:cs="Times New Roman"/>
          <w:sz w:val="24"/>
          <w:szCs w:val="24"/>
        </w:rPr>
        <w:t>ые дети затрудняются отбивать и ловле мяча. Бросании в даль.</w:t>
      </w:r>
    </w:p>
    <w:p w:rsidR="00CE1EBB" w:rsidRPr="000E07CE" w:rsidRDefault="00CE1EBB" w:rsidP="00CE1E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E07CE">
        <w:rPr>
          <w:rFonts w:ascii="Times New Roman" w:eastAsia="Calibri" w:hAnsi="Times New Roman" w:cs="Times New Roman"/>
          <w:b/>
          <w:bCs/>
          <w:sz w:val="24"/>
          <w:szCs w:val="24"/>
        </w:rPr>
        <w:t>Социально-коммуникативное развитие.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7CE">
        <w:rPr>
          <w:rFonts w:ascii="Times New Roman" w:eastAsia="Calibri" w:hAnsi="Times New Roman" w:cs="Times New Roman"/>
          <w:sz w:val="24"/>
        </w:rPr>
        <w:t>К концу учебного года, дети</w:t>
      </w:r>
      <w:r>
        <w:rPr>
          <w:rFonts w:ascii="Times New Roman" w:eastAsia="Calibri" w:hAnsi="Times New Roman" w:cs="Times New Roman"/>
          <w:sz w:val="24"/>
        </w:rPr>
        <w:t xml:space="preserve"> в большинстве</w:t>
      </w:r>
      <w:r w:rsidRPr="000E07CE">
        <w:rPr>
          <w:rFonts w:ascii="Times New Roman" w:eastAsia="Calibri" w:hAnsi="Times New Roman" w:cs="Times New Roman"/>
          <w:sz w:val="24"/>
        </w:rPr>
        <w:t xml:space="preserve"> понимают важность нравственного поведения, дают оценку своим и чужим посту</w:t>
      </w:r>
      <w:r>
        <w:rPr>
          <w:rFonts w:ascii="Times New Roman" w:eastAsia="Calibri" w:hAnsi="Times New Roman" w:cs="Times New Roman"/>
          <w:sz w:val="24"/>
        </w:rPr>
        <w:t>пкам, действиям. Слушают и слышат взрослого, но не все. Некоторые дети интересуются</w:t>
      </w:r>
      <w:r w:rsidRPr="000E07CE">
        <w:rPr>
          <w:rFonts w:ascii="Times New Roman" w:eastAsia="Calibri" w:hAnsi="Times New Roman" w:cs="Times New Roman"/>
          <w:sz w:val="24"/>
        </w:rPr>
        <w:t xml:space="preserve"> проблемами группы, социального характера, сочувствуют героям произведения, могут высказать свои мысли, свои эмоции по про</w:t>
      </w:r>
      <w:r>
        <w:rPr>
          <w:rFonts w:ascii="Times New Roman" w:eastAsia="Calibri" w:hAnsi="Times New Roman" w:cs="Times New Roman"/>
          <w:sz w:val="24"/>
        </w:rPr>
        <w:t>читанному, используя</w:t>
      </w:r>
      <w:r w:rsidRPr="000E07CE">
        <w:rPr>
          <w:rFonts w:ascii="Times New Roman" w:eastAsia="Calibri" w:hAnsi="Times New Roman" w:cs="Times New Roman"/>
          <w:sz w:val="24"/>
        </w:rPr>
        <w:t xml:space="preserve"> речь, поддерживают тему разговор</w:t>
      </w:r>
      <w:r>
        <w:rPr>
          <w:rFonts w:ascii="Times New Roman" w:eastAsia="Calibri" w:hAnsi="Times New Roman" w:cs="Times New Roman"/>
          <w:sz w:val="24"/>
        </w:rPr>
        <w:t xml:space="preserve">а. </w:t>
      </w:r>
      <w:r w:rsidRPr="000E07CE">
        <w:rPr>
          <w:rFonts w:ascii="Times New Roman" w:eastAsia="Calibri" w:hAnsi="Times New Roman" w:cs="Times New Roman"/>
          <w:sz w:val="24"/>
        </w:rPr>
        <w:t xml:space="preserve">Адекватно реагируют на эмоциональное состояние другого человека, сопереживают, стремятся поддержать и содействовать, помогают друг другу. С интересом участвуют в различных проектах, мероприятиях группы, проявляют инициативу. </w:t>
      </w:r>
    </w:p>
    <w:p w:rsidR="00CE1EBB" w:rsidRPr="000E07CE" w:rsidRDefault="00CE1EBB" w:rsidP="00CE1E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E07CE">
        <w:rPr>
          <w:rFonts w:ascii="Times New Roman" w:eastAsia="Calibri" w:hAnsi="Times New Roman" w:cs="Times New Roman"/>
          <w:sz w:val="24"/>
          <w:szCs w:val="24"/>
        </w:rPr>
        <w:tab/>
        <w:t>В ходе диагностики выявлен</w:t>
      </w:r>
      <w:r>
        <w:rPr>
          <w:rFonts w:ascii="Times New Roman" w:eastAsia="Calibri" w:hAnsi="Times New Roman" w:cs="Times New Roman"/>
          <w:sz w:val="24"/>
          <w:szCs w:val="24"/>
        </w:rPr>
        <w:t>о, что дети учатся организовывать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сюжетно-р</w:t>
      </w:r>
      <w:r>
        <w:rPr>
          <w:rFonts w:ascii="Times New Roman" w:eastAsia="Calibri" w:hAnsi="Times New Roman" w:cs="Times New Roman"/>
          <w:sz w:val="24"/>
          <w:szCs w:val="24"/>
        </w:rPr>
        <w:t>олевые игры, делают простые постройки согласно возрастных особенностей</w:t>
      </w:r>
      <w:r w:rsidRPr="000E07CE">
        <w:rPr>
          <w:rFonts w:ascii="Times New Roman" w:eastAsia="Calibri" w:hAnsi="Times New Roman" w:cs="Times New Roman"/>
          <w:sz w:val="24"/>
          <w:szCs w:val="24"/>
        </w:rPr>
        <w:t>. Дети имеют представления о семье, зна</w:t>
      </w:r>
      <w:r>
        <w:rPr>
          <w:rFonts w:ascii="Times New Roman" w:eastAsia="Calibri" w:hAnsi="Times New Roman" w:cs="Times New Roman"/>
          <w:sz w:val="24"/>
          <w:szCs w:val="24"/>
        </w:rPr>
        <w:t>ния о том как зовут маму и папу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 не все. 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У детей есть необходимые умения и н</w:t>
      </w:r>
      <w:r>
        <w:rPr>
          <w:rFonts w:ascii="Times New Roman" w:eastAsia="Calibri" w:hAnsi="Times New Roman" w:cs="Times New Roman"/>
          <w:sz w:val="24"/>
          <w:szCs w:val="24"/>
        </w:rPr>
        <w:t>авыки некоторых видов труда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. Умеют выполнять различные поручения, выполнять обязанности дежурного по столовой, в уголке природы, различные трудовые действия на своем участке. </w:t>
      </w:r>
      <w:r w:rsidRPr="000E07CE">
        <w:rPr>
          <w:rFonts w:ascii="Times New Roman" w:eastAsia="Calibri" w:hAnsi="Times New Roman" w:cs="Times New Roman"/>
          <w:sz w:val="24"/>
        </w:rPr>
        <w:t>Следят за опрятностью своего внешнего вида, самостоятельны в вып</w:t>
      </w:r>
      <w:r>
        <w:rPr>
          <w:rFonts w:ascii="Times New Roman" w:eastAsia="Calibri" w:hAnsi="Times New Roman" w:cs="Times New Roman"/>
          <w:sz w:val="24"/>
        </w:rPr>
        <w:t xml:space="preserve">олнении гигиенических процедур. 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bCs/>
          <w:sz w:val="24"/>
          <w:szCs w:val="24"/>
        </w:rPr>
        <w:t>Речевое развитие.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В ходе диагностики выявлен</w:t>
      </w:r>
      <w:r>
        <w:rPr>
          <w:rFonts w:ascii="Times New Roman" w:eastAsia="Calibri" w:hAnsi="Times New Roman" w:cs="Times New Roman"/>
          <w:sz w:val="24"/>
          <w:szCs w:val="24"/>
        </w:rPr>
        <w:t>о, что дети еще плохо выговаривают звуки</w:t>
      </w:r>
      <w:r w:rsidRPr="000E07C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выражают эмоции</w:t>
      </w:r>
      <w:r w:rsidRPr="000E07CE">
        <w:rPr>
          <w:rFonts w:ascii="Times New Roman" w:eastAsia="Calibri" w:hAnsi="Times New Roman" w:cs="Times New Roman"/>
          <w:sz w:val="24"/>
          <w:szCs w:val="24"/>
        </w:rPr>
        <w:t>, чувств</w:t>
      </w:r>
      <w:r>
        <w:rPr>
          <w:rFonts w:ascii="Times New Roman" w:eastAsia="Calibri" w:hAnsi="Times New Roman" w:cs="Times New Roman"/>
          <w:sz w:val="24"/>
          <w:szCs w:val="24"/>
        </w:rPr>
        <w:t>а. Не все могут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поддерживать беседу, высказыв</w:t>
      </w:r>
      <w:r>
        <w:rPr>
          <w:rFonts w:ascii="Times New Roman" w:eastAsia="Calibri" w:hAnsi="Times New Roman" w:cs="Times New Roman"/>
          <w:sz w:val="24"/>
          <w:szCs w:val="24"/>
        </w:rPr>
        <w:t>ать свое мнение.  Некоторые могут пересказать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небольшие сказки, рассказы, составлять рассказы о событиях из личного опыта, по набору картинок. Умеют внимательно и заинтересованно слушать литературные произведения; запоминать считалки, скороговорки, загадки.  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Познавательное развитие.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 В ходе диагностики выявлено, что дети</w:t>
      </w:r>
      <w:r>
        <w:rPr>
          <w:rFonts w:ascii="Times New Roman" w:eastAsia="Calibri" w:hAnsi="Times New Roman" w:cs="Times New Roman"/>
          <w:sz w:val="24"/>
          <w:szCs w:val="24"/>
        </w:rPr>
        <w:t>, в большинстве,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умеют выделять раз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нообразные свойств </w:t>
      </w:r>
      <w:r w:rsidRPr="000E07CE">
        <w:rPr>
          <w:rFonts w:ascii="Times New Roman" w:eastAsia="Calibri" w:hAnsi="Times New Roman" w:cs="Times New Roman"/>
          <w:sz w:val="24"/>
          <w:szCs w:val="24"/>
        </w:rPr>
        <w:t>предметов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цвету и форме</w:t>
      </w:r>
      <w:r w:rsidRPr="000E07CE">
        <w:rPr>
          <w:rFonts w:ascii="Times New Roman" w:eastAsia="Calibri" w:hAnsi="Times New Roman" w:cs="Times New Roman"/>
          <w:sz w:val="24"/>
          <w:szCs w:val="24"/>
        </w:rPr>
        <w:t>, сравнивать предметы, устанавливать их сходство и различие, создавать разнообразные постройки и конструкции, умеют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необ</w:t>
      </w:r>
      <w:r>
        <w:rPr>
          <w:rFonts w:ascii="Times New Roman" w:eastAsia="Calibri" w:hAnsi="Times New Roman" w:cs="Times New Roman"/>
          <w:sz w:val="24"/>
          <w:szCs w:val="24"/>
        </w:rPr>
        <w:t>ходимости. Считать в пределах 5</w:t>
      </w:r>
      <w:r w:rsidRPr="000E07CE">
        <w:rPr>
          <w:rFonts w:ascii="Times New Roman" w:eastAsia="Calibri" w:hAnsi="Times New Roman" w:cs="Times New Roman"/>
          <w:sz w:val="24"/>
          <w:szCs w:val="24"/>
        </w:rPr>
        <w:t>, использовать спо</w:t>
      </w:r>
      <w:r>
        <w:rPr>
          <w:rFonts w:ascii="Times New Roman" w:eastAsia="Calibri" w:hAnsi="Times New Roman" w:cs="Times New Roman"/>
          <w:sz w:val="24"/>
          <w:szCs w:val="24"/>
        </w:rPr>
        <w:t>собы посредственного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сравнения объектов, ориентируются на плоскости и в пространстве. Имеют представления о живой и не</w:t>
      </w:r>
      <w:r>
        <w:rPr>
          <w:rFonts w:ascii="Times New Roman" w:eastAsia="Calibri" w:hAnsi="Times New Roman" w:cs="Times New Roman"/>
          <w:sz w:val="24"/>
          <w:szCs w:val="24"/>
        </w:rPr>
        <w:t>живой природе,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классифицируют предметы, обобщая их по определенным признакам. Называют элементарные причинно-следственные зависимости между явлениями природы и состоянием объектов природы, взаимодействие человека с природой.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Default="00CE1EBB" w:rsidP="00CE1E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bCs/>
          <w:sz w:val="24"/>
          <w:szCs w:val="24"/>
        </w:rPr>
        <w:t>Художественно-эстетическое развитие.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В ходе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диагностики выявлено, что дети, в большинстве мальчики плохо умеют держать карандаш, плохой нажим, и выходят за границы. Некоторые дети могут создать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выразительные художественные обра</w:t>
      </w:r>
      <w:r>
        <w:rPr>
          <w:rFonts w:ascii="Times New Roman" w:eastAsia="Calibri" w:hAnsi="Times New Roman" w:cs="Times New Roman"/>
          <w:sz w:val="24"/>
          <w:szCs w:val="24"/>
        </w:rPr>
        <w:t>зы в рисунке, лепке, аппликации. Лепят предметы</w:t>
      </w:r>
      <w:r w:rsidRPr="000E07CE">
        <w:rPr>
          <w:rFonts w:ascii="Times New Roman" w:eastAsia="Calibri" w:hAnsi="Times New Roman" w:cs="Times New Roman"/>
          <w:sz w:val="24"/>
          <w:szCs w:val="24"/>
        </w:rPr>
        <w:t>, используя усвоенные приемы и способы, используют разные приемы вырезания и обрывания для создания образов, создают многофигурные композиц</w:t>
      </w:r>
      <w:r>
        <w:rPr>
          <w:rFonts w:ascii="Times New Roman" w:eastAsia="Calibri" w:hAnsi="Times New Roman" w:cs="Times New Roman"/>
          <w:sz w:val="24"/>
          <w:szCs w:val="24"/>
        </w:rPr>
        <w:t>ии на всем листе, по образцу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комбинируют разные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ехники. 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Исполняют танцевальные движения, развита музыкальная память, сформированы певческие навыки.</w:t>
      </w:r>
    </w:p>
    <w:p w:rsidR="00CE1EBB" w:rsidRPr="000E07CE" w:rsidRDefault="00CE1EBB" w:rsidP="00CE1E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: сравнительный анализ результатов мониторинга в начале и в конце учебного года показывает рост усвоения детьми программного материала, то есть прослеживается </w:t>
      </w:r>
      <w:r w:rsidRPr="000E07CE">
        <w:rPr>
          <w:rFonts w:ascii="Times New Roman" w:eastAsia="Calibri" w:hAnsi="Times New Roman" w:cs="Times New Roman"/>
          <w:sz w:val="24"/>
          <w:szCs w:val="24"/>
        </w:rPr>
        <w:lastRenderedPageBreak/>
        <w:t>положительная динамика развития ребенка по всем видам деятельности. Очевиден положительный результат проделанной ра</w:t>
      </w:r>
      <w:r>
        <w:rPr>
          <w:rFonts w:ascii="Times New Roman" w:eastAsia="Calibri" w:hAnsi="Times New Roman" w:cs="Times New Roman"/>
          <w:sz w:val="24"/>
          <w:szCs w:val="24"/>
        </w:rPr>
        <w:t>боты: низкий уровень уменшился</w:t>
      </w:r>
      <w:r w:rsidRPr="000E07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CE1EBB" w:rsidRPr="000E07CE" w:rsidRDefault="00CE1EBB" w:rsidP="00CE1EB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Развитие компетенций детей в рамках освоения образовательных областей 2022 – 2023 учебный год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1EBB" w:rsidRPr="000E07CE" w:rsidRDefault="00CE1EBB" w:rsidP="00CE1EBB">
      <w:pPr>
        <w:spacing w:after="0" w:line="240" w:lineRule="auto"/>
        <w:ind w:left="567" w:righ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Всего обследовано</w:t>
      </w:r>
      <w:r>
        <w:rPr>
          <w:rFonts w:ascii="Times New Roman" w:eastAsia="Calibri" w:hAnsi="Times New Roman" w:cs="Times New Roman"/>
          <w:sz w:val="24"/>
          <w:szCs w:val="24"/>
        </w:rPr>
        <w:t>: 27 дошкольников старшая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E07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EBB" w:rsidRPr="000E07CE" w:rsidRDefault="00CE1EBB" w:rsidP="00CE1EBB">
      <w:pPr>
        <w:spacing w:after="0" w:line="240" w:lineRule="auto"/>
        <w:ind w:right="7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Дата обследования: входная - октябрь 2022 г., итоговая – май 2023 г.</w:t>
      </w:r>
    </w:p>
    <w:tbl>
      <w:tblPr>
        <w:tblpPr w:leftFromText="180" w:rightFromText="180" w:vertAnchor="text" w:horzAnchor="margin" w:tblpXSpec="center" w:tblpY="4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850"/>
        <w:gridCol w:w="992"/>
        <w:gridCol w:w="1134"/>
        <w:gridCol w:w="851"/>
        <w:gridCol w:w="876"/>
        <w:gridCol w:w="907"/>
        <w:gridCol w:w="948"/>
        <w:gridCol w:w="985"/>
        <w:gridCol w:w="927"/>
      </w:tblGrid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727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55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12" w:type="dxa"/>
            <w:gridSpan w:val="2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3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left="567" w:right="70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2022 – 2023 учебный год.</w:t>
      </w:r>
    </w:p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righ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D20E56F" wp14:editId="020EA2AD">
            <wp:extent cx="5940425" cy="4010228"/>
            <wp:effectExtent l="0" t="0" r="3175" b="952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FEDDC1F7-6F86-45F0-B6C1-A6099F3266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1EBB" w:rsidRPr="000E07CE" w:rsidRDefault="00CE1EBB" w:rsidP="00CE1E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Физическое развитие. </w:t>
      </w: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Двигательный опыт воспитанников с высоким уровнем усвоения образовательной области составляет достаточный объем освоенных основных движений, общеразвивающих упражнений, спортивных упражнений; в двигательной деятельности дети проявляют хорошую выносливость, быстроту, силу, координацию, гибкость; в поведении четко выражена потребность в двигательной деятельности и физическом совершенствовании. Проявляют стойкий интерес к новым и знакомым физическим упражнениям, избирательность и инициативу при выполнении упражнений; имеют представления о некоторых видах спорта, уверенно, точно, в заданном темпе и ритме, выразительно выполняют упражнения. Представления о правилах личной гигиены, </w:t>
      </w: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необходимости соблюдения режима дня, о здоровом образе жизни устойчивые, чёткие и осознанные. Хорошо сформированы навыки самообслуживания и личной гигиены. </w:t>
      </w:r>
    </w:p>
    <w:p w:rsidR="00CE1EBB" w:rsidRDefault="00CE1EBB" w:rsidP="00CE1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7C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Социально-коммуникативное развитие. </w:t>
      </w: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Дошкольники </w:t>
      </w:r>
      <w:r w:rsidRPr="000E07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свободно озвучивают при необходимости правила игры, критерии выигрыша. Умеют сопереживать, сочувствовать героям прочитанных произведений, а также другим детям в группе при возникновении конфликтных ситуаций. Могут свободно обращаться к воспитателю с вопросами или просьбами, если есть в этом потребность. Обращаются к взрослому за помощью в случае возникновения опасных ситуаций, объясняют ему, что произошло. Могут самостоятельно подготовить место для своей работы, найти необходимое оборудование, предметы труда; приводить его в порядок в конце работы.</w:t>
      </w:r>
    </w:p>
    <w:p w:rsidR="00CE1EBB" w:rsidRPr="00845364" w:rsidRDefault="00CE1EBB" w:rsidP="00CE1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E1EBB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Речевое развитие.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Дети в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ладеют звуковым анализом слов с последующим построением модели из фишек заместителей звуков, могут назвать все звуки в последовательности, различают гласные и согласные (мягкие и твердые) звуки, выделяют ударный гласный звук в слове, могут назвать слова на заданный звук. Владеют элементарными графическими умениями: могут обвести контура предмета, выполнить разные виды штриховки внутри контура предмета, произвольно управляют кистями и пальцами рук. Могут выделить характерные для персонажа признаки (внешние и внутренние), построить пространственную композицию (модель) в соответствии с событиями сказки, изменяя ее по ходу сюжета; могут исполнить определенную роль словами, действиями в процессе чтения воспитателем сказки. Понимают во время чтения сказок и активно используют в речи эпитеты, антонимы, другие литературные средства для пересказа. 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Pr="000E07CE" w:rsidRDefault="00CE1EBB" w:rsidP="00CE1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lang w:eastAsia="ru-RU"/>
        </w:rPr>
        <w:t xml:space="preserve">Познавательное развитие. 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</w:rPr>
        <w:t>По данным итогового мониторинга можно сделать вывод, что работа в течение года направленная на развитие любознательности и познавательной мотивации, была продуктивной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Дети самостоятельно используют представления о сенсорных эталонах формы, цвета, величины и их разновидностях в изобразительной, конструктивной, игровой деятельностях.  Производят количественное сравнение множеств предметов с помощью различных средств: моделей из фишек, на счетах, графического изображения попарно расположенных значков, пересчета. Могут ориентироваться в реальном пространстве (помещении, участке для прогулок), находя обозначенные на плане объекты и предметы. </w:t>
      </w:r>
    </w:p>
    <w:p w:rsidR="00CE1EBB" w:rsidRDefault="00CE1EBB" w:rsidP="00CE1E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Владеют способами классификации предметов: могут устанавливать родо-видовые отношения между понятиями, подбирая родовое понятие к группе видовых и наоборот, могут подобрать два-три видовых понятия к родовому. Имеют представления о растениях, животных и условиях обитания в различных экологических системах. Умеют устанавливать взаимосвязи между живой и неживой природой, растениями и животными внутри экосистем с помощью модели. Дети знают по 5-6 растений и животных, обитающих в лесу, на лугу, в водоеме, в городе.</w:t>
      </w:r>
    </w:p>
    <w:p w:rsidR="00CE1EBB" w:rsidRPr="000E07CE" w:rsidRDefault="00CE1EBB" w:rsidP="00CE1EB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1EBB" w:rsidRPr="000E07CE" w:rsidRDefault="00CE1EBB" w:rsidP="00CE1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Художественно-эстетическое развитие. </w:t>
      </w:r>
      <w:r>
        <w:rPr>
          <w:rFonts w:ascii="Times New Roman" w:eastAsia="Calibri" w:hAnsi="Times New Roman" w:cs="Times New Roman"/>
          <w:sz w:val="24"/>
          <w:szCs w:val="24"/>
        </w:rPr>
        <w:t>Высокий уровень.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Эти дети могут создавать выразительные живописные композиции с использованием действий преобразования при изображении пространственных взаимоотношений объектов и их движений.  Участвуют в конструировании нескольких взаимосвязанных многопредметных композиций (4-5) по сюжету знакомой сказки, используя готовую графическую модель. Конструируют из самостоятельно вырезанных бумажных деталей динамичные изображения животных и людей, преобразуют их. Создают объемные поделки из бумаги.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 детей </w:t>
      </w:r>
      <w:r w:rsidRPr="000E07C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сформированы технические умения и навыки работы с разнообразными материалами для лепки, рисования, аппликации.</w:t>
      </w:r>
    </w:p>
    <w:p w:rsidR="00CE1EBB" w:rsidRDefault="00CE1EBB" w:rsidP="00CE1E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У </w:t>
      </w:r>
      <w:r w:rsidRPr="000E07CE">
        <w:rPr>
          <w:rFonts w:ascii="Times New Roman" w:eastAsia="Calibri" w:hAnsi="Times New Roman" w:cs="Times New Roman"/>
          <w:sz w:val="24"/>
          <w:szCs w:val="24"/>
        </w:rPr>
        <w:t>детей со средним уровнем д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остаточно  развит  навык  лепки объемного образа и все дети до конца и аккуратно выполняют плоскую лепку. Также умеют правильно держать 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ножницы и правильно вырезать из бумаги, но используют однотипные приемы вырезания. Не всегда способны конструировать по собственному замыслу, рассматривают, анализируют по вопросам взрослого. </w:t>
      </w:r>
    </w:p>
    <w:p w:rsidR="00CE1EBB" w:rsidRDefault="00CE1EBB" w:rsidP="00CE1E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E1EBB" w:rsidRPr="000E07CE" w:rsidRDefault="00CE1EBB" w:rsidP="00CE1EB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E1EBB" w:rsidRPr="000E07CE" w:rsidRDefault="00CE1EBB" w:rsidP="00CE1E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результатам диагностического обследования за 2022-2023 учебный год выявлено повышение уровня развития детей по всем образовательным областям. В обследовании участвовало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27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детей. Прослеживается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положительная динамика в развитии.</w:t>
      </w:r>
    </w:p>
    <w:p w:rsidR="00CE1EBB" w:rsidRPr="000E07CE" w:rsidRDefault="00CE1EBB" w:rsidP="00CE1EBB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Default="00CE1EBB" w:rsidP="00CE1EBB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Default="00CE1EBB" w:rsidP="00CE1EBB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Развитие компетенций детей в рамках освоения образовательных областей 2023 – 2024 учебный год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E1EBB" w:rsidRPr="000E07CE" w:rsidRDefault="00CE1EBB" w:rsidP="00CE1EB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Всего обследовано: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дошкольников подготовительных групп.</w:t>
      </w:r>
    </w:p>
    <w:p w:rsidR="00CE1EBB" w:rsidRPr="000E07CE" w:rsidRDefault="00CE1EBB" w:rsidP="00CE1EBB">
      <w:pPr>
        <w:spacing w:after="0" w:line="240" w:lineRule="auto"/>
        <w:ind w:left="567" w:righ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Дата обследования: входная - октябрь 2023 г., итоговая – май 2024 г.</w:t>
      </w:r>
    </w:p>
    <w:p w:rsidR="00CE1EBB" w:rsidRPr="000E07CE" w:rsidRDefault="00CE1EBB" w:rsidP="00CE1E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850"/>
        <w:gridCol w:w="992"/>
        <w:gridCol w:w="1134"/>
        <w:gridCol w:w="851"/>
        <w:gridCol w:w="876"/>
        <w:gridCol w:w="907"/>
        <w:gridCol w:w="948"/>
        <w:gridCol w:w="985"/>
        <w:gridCol w:w="927"/>
      </w:tblGrid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727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2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55" w:type="dxa"/>
            <w:gridSpan w:val="2"/>
          </w:tcPr>
          <w:p w:rsidR="00CE1EBB" w:rsidRPr="000E07CE" w:rsidRDefault="00CE1EBB" w:rsidP="0046714F">
            <w:pPr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12" w:type="dxa"/>
            <w:gridSpan w:val="2"/>
          </w:tcPr>
          <w:p w:rsidR="00CE1EBB" w:rsidRPr="000E07CE" w:rsidRDefault="00CE1EBB" w:rsidP="0046714F">
            <w:pPr>
              <w:tabs>
                <w:tab w:val="left" w:pos="16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tabs>
                <w:tab w:val="left" w:pos="318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К.г.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3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CE1EBB" w:rsidRPr="000E07CE" w:rsidTr="0046714F">
        <w:tc>
          <w:tcPr>
            <w:tcW w:w="426" w:type="dxa"/>
          </w:tcPr>
          <w:p w:rsidR="00CE1EBB" w:rsidRPr="000E07CE" w:rsidRDefault="00CE1EBB" w:rsidP="0046714F">
            <w:pPr>
              <w:spacing w:after="0" w:line="240" w:lineRule="auto"/>
              <w:ind w:righ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3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134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27" w:type="dxa"/>
          </w:tcPr>
          <w:p w:rsidR="00CE1EBB" w:rsidRPr="000E07CE" w:rsidRDefault="00CE1EBB" w:rsidP="0046714F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CE1EBB" w:rsidRPr="000E07CE" w:rsidRDefault="00CE1EBB" w:rsidP="00CE1EBB">
      <w:pPr>
        <w:spacing w:after="0" w:line="240" w:lineRule="auto"/>
        <w:ind w:right="708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CE1EBB" w:rsidRPr="000E07CE" w:rsidRDefault="00CE1EBB" w:rsidP="00CE1EBB">
      <w:pPr>
        <w:spacing w:after="0" w:line="240" w:lineRule="auto"/>
        <w:ind w:right="70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>Диаграмма развития компетенций детей в рамках освоения образовательных областей 2023– 2024 учебный год.</w:t>
      </w:r>
    </w:p>
    <w:p w:rsidR="00CE1EBB" w:rsidRPr="000E07CE" w:rsidRDefault="00CE1EBB" w:rsidP="00CE1EBB">
      <w:pPr>
        <w:spacing w:after="0" w:line="240" w:lineRule="auto"/>
        <w:ind w:left="567" w:right="708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righ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07C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83880A" wp14:editId="7F069C28">
            <wp:extent cx="5743575" cy="3362325"/>
            <wp:effectExtent l="0" t="0" r="0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73261D2E-5DF4-490A-8CF3-0375604105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EBB" w:rsidRPr="000E07CE" w:rsidRDefault="00CE1EBB" w:rsidP="00CE1E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Физическое развитие. </w:t>
      </w:r>
      <w:r w:rsidRPr="000E07CE">
        <w:rPr>
          <w:rFonts w:ascii="Times New Roman" w:eastAsia="Calibri" w:hAnsi="Times New Roman" w:cs="Times New Roman"/>
          <w:sz w:val="24"/>
          <w:szCs w:val="24"/>
        </w:rPr>
        <w:t>По резу</w:t>
      </w:r>
      <w:r>
        <w:rPr>
          <w:rFonts w:ascii="Times New Roman" w:eastAsia="Calibri" w:hAnsi="Times New Roman" w:cs="Times New Roman"/>
          <w:sz w:val="24"/>
          <w:szCs w:val="24"/>
        </w:rPr>
        <w:t>льтатам итоговой диагностики: 26% имеют высокий уровень, 74</w:t>
      </w:r>
      <w:r w:rsidRPr="000E07CE">
        <w:rPr>
          <w:rFonts w:ascii="Times New Roman" w:eastAsia="Calibri" w:hAnsi="Times New Roman" w:cs="Times New Roman"/>
          <w:sz w:val="24"/>
          <w:szCs w:val="24"/>
        </w:rPr>
        <w:t>% - средний уровень развития в данной области.</w:t>
      </w:r>
    </w:p>
    <w:p w:rsidR="00CE1EBB" w:rsidRPr="000E07CE" w:rsidRDefault="00CE1EBB" w:rsidP="00CE1E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Воспитанники сознательно относятся к собственному здоровью, знают, как доступными способами его укреплять, владеют техникой выполнения   общеразвивающих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Социально-коммуникативное развитие.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0E07CE">
        <w:rPr>
          <w:rFonts w:ascii="Times New Roman" w:eastAsia="Calibri" w:hAnsi="Times New Roman" w:cs="Times New Roman"/>
          <w:sz w:val="24"/>
          <w:szCs w:val="24"/>
        </w:rPr>
        <w:t>% детей имеют высокий уровень социально-коммуникативного развития. Принимают и свободно владеют основными нормами и правилами, принятыми в детском саду. Могут самостоятельно следить за собственным выполнением правил. Умеют гибко применять правила в различные моменты общения, выражая их в формах, подходящих для ситуации. Могут свободно обращаться к другим детям и взрослым, если у него есть такая потребность. Стремятся к совместному взаимодействию, могут пойти на компромисс, договариваться, уступать. Способны предвидеть возникновение возможных опасных ситуаций знакомых типов. Знают, как подготовить рабочее место и умеют обращаться с материалами и оборудованием для соответствующей работы.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Речевое развитие. 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 xml:space="preserve">Анализ показал, что </w:t>
      </w:r>
      <w:r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0E07CE">
        <w:rPr>
          <w:rFonts w:ascii="Times New Roman" w:eastAsia="Times New Roman" w:hAnsi="Times New Roman" w:cs="Times New Roman"/>
          <w:sz w:val="24"/>
          <w:szCs w:val="24"/>
        </w:rPr>
        <w:t>% детей правильно анализируют 3-5-сложные предложения и выполняют его графическую запись в соответствии с правилами написания предложений; строят слово и предложение из букв азбуки и фишек. Подбирают слова к 3-5-ти звуковым моделям. Могут найти и обвести нужную конфигурацию буквы, могут составить печатные буквы из заданных элементов. Способны пересказать литературное произведение с опорой на смысл и логику происходящих в нем событий, выразить свое эмоциональное отношение к литературным героям. Сформированы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былина.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Познавательное развитие. </w:t>
      </w:r>
      <w:r w:rsidRPr="000E07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Анализ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динамики показал, что мате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риал усвоен на высоком уровне 22%, и на среднем – 78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%. 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 по образовательной области была направлена на формирование у воспитанников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представления о сенсорных эталонах и их разновидностях в различных деятельностях: изобразительной, конструктивной, игровой, возможности проанализировать предмет сложной формы и воссоздать ее из частей. Дети умеют представить строительный объект «в уме» с разных пространственных позиций с опорой на модельные образы предмета и их графическое изображение: способны переводить одни схемы построек в другие. Владеют представлениями о закономерностях образования чисел числового ряда: выполняют различные задания в соответствии с результатом установления в уме отношений между числами числового ряда от 0 до 10, могут назвать состав любого числа до десяти из двух меньших. Имеют  </w:t>
      </w:r>
      <w:r w:rsidRPr="000E07C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представления о многообразии природного мира родного края, различных областей и регионов России и на Земле,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о взаимосвязи растений и животных с условиями жизни.</w:t>
      </w:r>
    </w:p>
    <w:p w:rsidR="00CE1EBB" w:rsidRPr="000E07CE" w:rsidRDefault="00CE1EBB" w:rsidP="00CE1E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Художественно-эстетическое развитие. </w:t>
      </w: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осв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  детьми на высоком уровне 37</w:t>
      </w: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и среднем уровне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0E0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%. </w:t>
      </w:r>
      <w:r w:rsidRPr="000E07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Дети к концу года могут </w:t>
      </w:r>
      <w:r w:rsidRPr="000E07CE">
        <w:rPr>
          <w:rFonts w:ascii="Times New Roman" w:eastAsia="Calibri" w:hAnsi="Times New Roman" w:cs="Times New Roman"/>
          <w:sz w:val="24"/>
          <w:szCs w:val="24"/>
        </w:rPr>
        <w:t>конструировать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планов. Умеют создавать выразительную многофигурную живописную композицию, прорабатывая художественные образы персонажей. Дети выражают интерес к культурным традициям народа в процессе знакомства с различными видами и жанрами искусства.</w:t>
      </w:r>
    </w:p>
    <w:p w:rsidR="00CE1EBB" w:rsidRPr="000E07CE" w:rsidRDefault="00CE1EBB" w:rsidP="00CE1EB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7C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В ходе мониторинга на конец учебного года прослеживается положительная</w:t>
      </w:r>
      <w:r w:rsidRPr="000E07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07CE">
        <w:rPr>
          <w:rFonts w:ascii="Times New Roman" w:eastAsia="Calibri" w:hAnsi="Times New Roman" w:cs="Times New Roman"/>
          <w:sz w:val="24"/>
          <w:szCs w:val="24"/>
        </w:rPr>
        <w:t>динамика освоения программы детьми седьмого года жизни по всем образовательным</w:t>
      </w:r>
      <w:r w:rsidRPr="000E07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областям, сравнение входной и итоговой диагностики позволяют сделать </w:t>
      </w:r>
      <w:r w:rsidRPr="000E07CE">
        <w:rPr>
          <w:rFonts w:ascii="Times New Roman" w:eastAsia="Calibri" w:hAnsi="Times New Roman" w:cs="Times New Roman"/>
          <w:sz w:val="24"/>
          <w:szCs w:val="24"/>
        </w:rPr>
        <w:lastRenderedPageBreak/>
        <w:t>вывод об</w:t>
      </w:r>
      <w:r w:rsidRPr="000E07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эффективности решения образовательных задач, системности и последовательности </w:t>
      </w:r>
      <w:r w:rsidRPr="000E07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E07CE">
        <w:rPr>
          <w:rFonts w:ascii="Times New Roman" w:eastAsia="Calibri" w:hAnsi="Times New Roman" w:cs="Times New Roman"/>
          <w:sz w:val="24"/>
          <w:szCs w:val="24"/>
        </w:rPr>
        <w:t>образовательной деятельности с детьми.</w:t>
      </w:r>
    </w:p>
    <w:p w:rsidR="00CE1EBB" w:rsidRPr="000E07CE" w:rsidRDefault="00CE1EBB" w:rsidP="00CE1EB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7CE">
        <w:rPr>
          <w:rFonts w:ascii="Times New Roman" w:eastAsia="Calibri" w:hAnsi="Times New Roman" w:cs="Times New Roman"/>
          <w:sz w:val="24"/>
          <w:szCs w:val="24"/>
        </w:rPr>
        <w:t>Практика моей педагогической деятельности и результаты диагностики показали успешность применения современных образовательных технологий. Полученные результаты говорят о том, что свою образовательну</w:t>
      </w:r>
      <w:r>
        <w:rPr>
          <w:rFonts w:ascii="Times New Roman" w:eastAsia="Calibri" w:hAnsi="Times New Roman" w:cs="Times New Roman"/>
          <w:sz w:val="24"/>
          <w:szCs w:val="24"/>
        </w:rPr>
        <w:t>ю деятельность с детьми строится</w:t>
      </w:r>
      <w:r w:rsidRPr="000E07CE">
        <w:rPr>
          <w:rFonts w:ascii="Times New Roman" w:eastAsia="Calibri" w:hAnsi="Times New Roman" w:cs="Times New Roman"/>
          <w:sz w:val="24"/>
          <w:szCs w:val="24"/>
        </w:rPr>
        <w:t xml:space="preserve"> на важнейшем дидактическом принципе – развивающего обучения и на основе таких принципов, как систематичность, планомерность и целенаправленность. Педагогические наблюдения показывают, что дети проявляют интерес и познавательную активность к исследовательской, конструктивной, коммуникативной, продуктивной и изобразительной деятельности. </w:t>
      </w:r>
    </w:p>
    <w:p w:rsidR="00CE1EBB" w:rsidRPr="000E07CE" w:rsidRDefault="00CE1EBB" w:rsidP="00CE1EBB">
      <w:pPr>
        <w:spacing w:after="160" w:line="240" w:lineRule="auto"/>
        <w:rPr>
          <w:rFonts w:ascii="Calibri" w:eastAsia="Calibri" w:hAnsi="Calibri" w:cs="Times New Roman"/>
        </w:rPr>
      </w:pPr>
    </w:p>
    <w:p w:rsidR="0060621C" w:rsidRDefault="0060621C"/>
    <w:sectPr w:rsidR="0060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DAB" w:rsidRDefault="00E70DAB" w:rsidP="00CE1EBB">
      <w:pPr>
        <w:spacing w:after="0" w:line="240" w:lineRule="auto"/>
      </w:pPr>
      <w:r>
        <w:separator/>
      </w:r>
    </w:p>
  </w:endnote>
  <w:endnote w:type="continuationSeparator" w:id="0">
    <w:p w:rsidR="00E70DAB" w:rsidRDefault="00E70DAB" w:rsidP="00CE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DAB" w:rsidRDefault="00E70DAB" w:rsidP="00CE1EBB">
      <w:pPr>
        <w:spacing w:after="0" w:line="240" w:lineRule="auto"/>
      </w:pPr>
      <w:r>
        <w:separator/>
      </w:r>
    </w:p>
  </w:footnote>
  <w:footnote w:type="continuationSeparator" w:id="0">
    <w:p w:rsidR="00E70DAB" w:rsidRDefault="00E70DAB" w:rsidP="00CE1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BB"/>
    <w:rsid w:val="0060621C"/>
    <w:rsid w:val="00CE1EBB"/>
    <w:rsid w:val="00E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807"/>
  <w15:chartTrackingRefBased/>
  <w15:docId w15:val="{6289F4E5-1119-4857-A8FB-1025BF42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1EBB"/>
  </w:style>
  <w:style w:type="paragraph" w:styleId="a5">
    <w:name w:val="footer"/>
    <w:basedOn w:val="a"/>
    <w:link w:val="a6"/>
    <w:uiPriority w:val="99"/>
    <w:unhideWhenUsed/>
    <w:rsid w:val="00CE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Лист1!$D$5:$M$6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 коммуникативное развитие 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 эстетическое развитие </c:v>
                  </c:pt>
                </c:lvl>
              </c:multiLvlStrCache>
            </c:multiLvlStrRef>
          </c:cat>
          <c:val>
            <c:numRef>
              <c:f>Лист1!$D$7:$M$7</c:f>
              <c:numCache>
                <c:formatCode>0%</c:formatCode>
                <c:ptCount val="10"/>
                <c:pt idx="0">
                  <c:v>0.02</c:v>
                </c:pt>
                <c:pt idx="1">
                  <c:v>7.0000000000000007E-2</c:v>
                </c:pt>
                <c:pt idx="2">
                  <c:v>0.08</c:v>
                </c:pt>
                <c:pt idx="3">
                  <c:v>0.11</c:v>
                </c:pt>
                <c:pt idx="4">
                  <c:v>0.03</c:v>
                </c:pt>
                <c:pt idx="5">
                  <c:v>7.0000000000000007E-2</c:v>
                </c:pt>
                <c:pt idx="6">
                  <c:v>0.03</c:v>
                </c:pt>
                <c:pt idx="7">
                  <c:v>7.0000000000000007E-2</c:v>
                </c:pt>
                <c:pt idx="8">
                  <c:v>0.06</c:v>
                </c:pt>
                <c:pt idx="9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C1-4928-9BD1-9E948263B275}"/>
            </c:ext>
          </c:extLst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Лист1!$D$5:$M$6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 коммуникативное развитие 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 эстетическое развитие </c:v>
                  </c:pt>
                </c:lvl>
              </c:multiLvlStrCache>
            </c:multiLvlStrRef>
          </c:cat>
          <c:val>
            <c:numRef>
              <c:f>Лист1!$D$8:$M$8</c:f>
              <c:numCache>
                <c:formatCode>0%</c:formatCode>
                <c:ptCount val="10"/>
                <c:pt idx="0">
                  <c:v>0.63</c:v>
                </c:pt>
                <c:pt idx="1">
                  <c:v>0.74</c:v>
                </c:pt>
                <c:pt idx="2">
                  <c:v>0.72</c:v>
                </c:pt>
                <c:pt idx="3">
                  <c:v>0.82</c:v>
                </c:pt>
                <c:pt idx="4">
                  <c:v>0.54</c:v>
                </c:pt>
                <c:pt idx="5">
                  <c:v>0.64</c:v>
                </c:pt>
                <c:pt idx="6">
                  <c:v>0.67</c:v>
                </c:pt>
                <c:pt idx="7">
                  <c:v>0.67</c:v>
                </c:pt>
                <c:pt idx="8">
                  <c:v>0.71</c:v>
                </c:pt>
                <c:pt idx="9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C1-4928-9BD1-9E948263B275}"/>
            </c:ext>
          </c:extLst>
        </c:ser>
        <c:ser>
          <c:idx val="2"/>
          <c:order val="2"/>
          <c:tx>
            <c:strRef>
              <c:f>Лист1!$C$9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Лист1!$D$5:$M$6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 коммуникативное развитие 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 эстетическое развитие </c:v>
                  </c:pt>
                </c:lvl>
              </c:multiLvlStrCache>
            </c:multiLvlStrRef>
          </c:cat>
          <c:val>
            <c:numRef>
              <c:f>Лист1!$D$9:$M$9</c:f>
              <c:numCache>
                <c:formatCode>0%</c:formatCode>
                <c:ptCount val="10"/>
                <c:pt idx="0">
                  <c:v>0.35</c:v>
                </c:pt>
                <c:pt idx="1">
                  <c:v>0.19</c:v>
                </c:pt>
                <c:pt idx="2">
                  <c:v>0.2</c:v>
                </c:pt>
                <c:pt idx="3">
                  <c:v>7.0000000000000007E-2</c:v>
                </c:pt>
                <c:pt idx="4">
                  <c:v>0.43</c:v>
                </c:pt>
                <c:pt idx="5">
                  <c:v>0.28999999999999998</c:v>
                </c:pt>
                <c:pt idx="6">
                  <c:v>0.3</c:v>
                </c:pt>
                <c:pt idx="7">
                  <c:v>0.26</c:v>
                </c:pt>
                <c:pt idx="8">
                  <c:v>0.23</c:v>
                </c:pt>
                <c:pt idx="9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C1-4928-9BD1-9E948263B2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0158000"/>
        <c:axId val="420159312"/>
      </c:barChart>
      <c:catAx>
        <c:axId val="42015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159312"/>
        <c:crosses val="autoZero"/>
        <c:auto val="1"/>
        <c:lblAlgn val="ctr"/>
        <c:lblOffset val="100"/>
        <c:noMultiLvlLbl val="0"/>
      </c:catAx>
      <c:valAx>
        <c:axId val="42015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015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Лист1!$D$30:$M$31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Социально-коммуникативное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Художественно-эстетическое развитие</c:v>
                  </c:pt>
                </c:lvl>
              </c:multiLvlStrCache>
            </c:multiLvlStrRef>
          </c:cat>
          <c:val>
            <c:numRef>
              <c:f>Лист1!$D$32:$M$32</c:f>
              <c:numCache>
                <c:formatCode>0%</c:formatCode>
                <c:ptCount val="10"/>
                <c:pt idx="0">
                  <c:v>7.0000000000000007E-2</c:v>
                </c:pt>
                <c:pt idx="1">
                  <c:v>0.15</c:v>
                </c:pt>
                <c:pt idx="2">
                  <c:v>0.22</c:v>
                </c:pt>
                <c:pt idx="3">
                  <c:v>0.42</c:v>
                </c:pt>
                <c:pt idx="4">
                  <c:v>0.25</c:v>
                </c:pt>
                <c:pt idx="5">
                  <c:v>0.4</c:v>
                </c:pt>
                <c:pt idx="6">
                  <c:v>0.3</c:v>
                </c:pt>
                <c:pt idx="7">
                  <c:v>0.63</c:v>
                </c:pt>
                <c:pt idx="8">
                  <c:v>0.06</c:v>
                </c:pt>
                <c:pt idx="9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D-4F57-A0F4-E2AD7D759EDE}"/>
            </c:ext>
          </c:extLst>
        </c:ser>
        <c:ser>
          <c:idx val="1"/>
          <c:order val="1"/>
          <c:tx>
            <c:strRef>
              <c:f>Лист1!$C$33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Лист1!$D$30:$M$31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Социально-коммуникативное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Художественно-эстетическое развитие</c:v>
                  </c:pt>
                </c:lvl>
              </c:multiLvlStrCache>
            </c:multiLvlStrRef>
          </c:cat>
          <c:val>
            <c:numRef>
              <c:f>Лист1!$D$33:$M$33</c:f>
              <c:numCache>
                <c:formatCode>0%</c:formatCode>
                <c:ptCount val="10"/>
                <c:pt idx="0">
                  <c:v>0.74</c:v>
                </c:pt>
                <c:pt idx="1">
                  <c:v>0.7</c:v>
                </c:pt>
                <c:pt idx="2">
                  <c:v>0.53</c:v>
                </c:pt>
                <c:pt idx="3">
                  <c:v>0.52</c:v>
                </c:pt>
                <c:pt idx="4">
                  <c:v>0.57999999999999996</c:v>
                </c:pt>
                <c:pt idx="5">
                  <c:v>0.54</c:v>
                </c:pt>
                <c:pt idx="6">
                  <c:v>0.6</c:v>
                </c:pt>
                <c:pt idx="7">
                  <c:v>0.37</c:v>
                </c:pt>
                <c:pt idx="8">
                  <c:v>0.76</c:v>
                </c:pt>
                <c:pt idx="9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0D-4F57-A0F4-E2AD7D759EDE}"/>
            </c:ext>
          </c:extLst>
        </c:ser>
        <c:ser>
          <c:idx val="2"/>
          <c:order val="2"/>
          <c:tx>
            <c:strRef>
              <c:f>Лист1!$C$34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Лист1!$D$30:$M$31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Социально-коммуникативное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Художественно-эстетическое развитие</c:v>
                  </c:pt>
                </c:lvl>
              </c:multiLvlStrCache>
            </c:multiLvlStrRef>
          </c:cat>
          <c:val>
            <c:numRef>
              <c:f>Лист1!$D$34:$M$34</c:f>
              <c:numCache>
                <c:formatCode>0%</c:formatCode>
                <c:ptCount val="10"/>
                <c:pt idx="0">
                  <c:v>0.19</c:v>
                </c:pt>
                <c:pt idx="1">
                  <c:v>0.15</c:v>
                </c:pt>
                <c:pt idx="2">
                  <c:v>0.25</c:v>
                </c:pt>
                <c:pt idx="3">
                  <c:v>0.06</c:v>
                </c:pt>
                <c:pt idx="4">
                  <c:v>0.17</c:v>
                </c:pt>
                <c:pt idx="5">
                  <c:v>0.06</c:v>
                </c:pt>
                <c:pt idx="6">
                  <c:v>0.1</c:v>
                </c:pt>
                <c:pt idx="7" formatCode="General">
                  <c:v>0</c:v>
                </c:pt>
                <c:pt idx="8">
                  <c:v>0.18</c:v>
                </c:pt>
                <c:pt idx="9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0D-4F57-A0F4-E2AD7D759E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722584"/>
        <c:axId val="266720616"/>
      </c:barChart>
      <c:catAx>
        <c:axId val="266722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720616"/>
        <c:crosses val="autoZero"/>
        <c:auto val="1"/>
        <c:lblAlgn val="ctr"/>
        <c:lblOffset val="100"/>
        <c:noMultiLvlLbl val="0"/>
      </c:catAx>
      <c:valAx>
        <c:axId val="266720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6722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Word]Лист1'!$C$33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'[Диаграмма в Microsoft Word]Лист1'!$D$31:$M$32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Социально-коммуникативное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Художественно-эстетическое развитие</c:v>
                  </c:pt>
                </c:lvl>
              </c:multiLvlStrCache>
            </c:multiLvlStrRef>
          </c:cat>
          <c:val>
            <c:numRef>
              <c:f>'[Диаграмма в Microsoft Word]Лист1'!$D$33:$M$33</c:f>
              <c:numCache>
                <c:formatCode>0%</c:formatCode>
                <c:ptCount val="10"/>
                <c:pt idx="0">
                  <c:v>0.62</c:v>
                </c:pt>
                <c:pt idx="1">
                  <c:v>0.81</c:v>
                </c:pt>
                <c:pt idx="2">
                  <c:v>0.75</c:v>
                </c:pt>
                <c:pt idx="3">
                  <c:v>0.85</c:v>
                </c:pt>
                <c:pt idx="4">
                  <c:v>0.35</c:v>
                </c:pt>
                <c:pt idx="5">
                  <c:v>0.68</c:v>
                </c:pt>
                <c:pt idx="6">
                  <c:v>0.55000000000000004</c:v>
                </c:pt>
                <c:pt idx="7">
                  <c:v>0.74</c:v>
                </c:pt>
                <c:pt idx="8">
                  <c:v>0.57999999999999996</c:v>
                </c:pt>
                <c:pt idx="9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9F-40E4-ACE7-EC669931D75B}"/>
            </c:ext>
          </c:extLst>
        </c:ser>
        <c:ser>
          <c:idx val="1"/>
          <c:order val="1"/>
          <c:tx>
            <c:strRef>
              <c:f>'[Диаграмма в Microsoft Word]Лист1'!$C$34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'[Диаграмма в Microsoft Word]Лист1'!$D$31:$M$32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Социально-коммуникативное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Художественно-эстетическое развитие</c:v>
                  </c:pt>
                </c:lvl>
              </c:multiLvlStrCache>
            </c:multiLvlStrRef>
          </c:cat>
          <c:val>
            <c:numRef>
              <c:f>'[Диаграмма в Microsoft Word]Лист1'!$D$34:$M$34</c:f>
              <c:numCache>
                <c:formatCode>0%</c:formatCode>
                <c:ptCount val="10"/>
                <c:pt idx="0">
                  <c:v>0.34</c:v>
                </c:pt>
                <c:pt idx="1">
                  <c:v>0.19</c:v>
                </c:pt>
                <c:pt idx="2">
                  <c:v>0.21</c:v>
                </c:pt>
                <c:pt idx="3">
                  <c:v>0.15</c:v>
                </c:pt>
                <c:pt idx="4">
                  <c:v>0.56000000000000005</c:v>
                </c:pt>
                <c:pt idx="5">
                  <c:v>0.32</c:v>
                </c:pt>
                <c:pt idx="6">
                  <c:v>0.4</c:v>
                </c:pt>
                <c:pt idx="7">
                  <c:v>0.26</c:v>
                </c:pt>
                <c:pt idx="8">
                  <c:v>0.42</c:v>
                </c:pt>
                <c:pt idx="9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F-40E4-ACE7-EC669931D75B}"/>
            </c:ext>
          </c:extLst>
        </c:ser>
        <c:ser>
          <c:idx val="2"/>
          <c:order val="2"/>
          <c:tx>
            <c:strRef>
              <c:f>'[Диаграмма в Microsoft Word]Лист1'!$C$35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'[Диаграмма в Microsoft Word]Лист1'!$D$31:$M$32</c:f>
              <c:multiLvlStrCache>
                <c:ptCount val="10"/>
                <c:lvl>
                  <c:pt idx="0">
                    <c:v>Н.г.</c:v>
                  </c:pt>
                  <c:pt idx="1">
                    <c:v>К.г</c:v>
                  </c:pt>
                  <c:pt idx="2">
                    <c:v>Н.г.</c:v>
                  </c:pt>
                  <c:pt idx="3">
                    <c:v>К.г.</c:v>
                  </c:pt>
                  <c:pt idx="4">
                    <c:v>Н.г.</c:v>
                  </c:pt>
                  <c:pt idx="5">
                    <c:v>К.г.</c:v>
                  </c:pt>
                  <c:pt idx="6">
                    <c:v>Н.г.</c:v>
                  </c:pt>
                  <c:pt idx="7">
                    <c:v>К.г.</c:v>
                  </c:pt>
                  <c:pt idx="8">
                    <c:v>Н.г.</c:v>
                  </c:pt>
                  <c:pt idx="9">
                    <c:v>К.г.</c:v>
                  </c:pt>
                </c:lvl>
                <c:lvl>
                  <c:pt idx="0">
                    <c:v>Физическое развитие</c:v>
                  </c:pt>
                  <c:pt idx="2">
                    <c:v>Социально-коммуникативное</c:v>
                  </c:pt>
                  <c:pt idx="4">
                    <c:v>Речевое развитие</c:v>
                  </c:pt>
                  <c:pt idx="6">
                    <c:v>Познавательное развитие</c:v>
                  </c:pt>
                  <c:pt idx="8">
                    <c:v>Художественно-эстетическое развитие</c:v>
                  </c:pt>
                </c:lvl>
              </c:multiLvlStrCache>
            </c:multiLvlStrRef>
          </c:cat>
          <c:val>
            <c:numRef>
              <c:f>'[Диаграмма в Microsoft Word]Лист1'!$D$35:$M$35</c:f>
              <c:numCache>
                <c:formatCode>General</c:formatCode>
                <c:ptCount val="10"/>
                <c:pt idx="0" formatCode="0%">
                  <c:v>0.04</c:v>
                </c:pt>
                <c:pt idx="1">
                  <c:v>0</c:v>
                </c:pt>
                <c:pt idx="2" formatCode="0%">
                  <c:v>0.04</c:v>
                </c:pt>
                <c:pt idx="3">
                  <c:v>0</c:v>
                </c:pt>
                <c:pt idx="4" formatCode="0%">
                  <c:v>0.09</c:v>
                </c:pt>
                <c:pt idx="5">
                  <c:v>0</c:v>
                </c:pt>
                <c:pt idx="6" formatCode="0%">
                  <c:v>0.05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9F-40E4-ACE7-EC669931D7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812864"/>
        <c:axId val="354817784"/>
      </c:barChart>
      <c:catAx>
        <c:axId val="35481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817784"/>
        <c:crosses val="autoZero"/>
        <c:auto val="1"/>
        <c:lblAlgn val="ctr"/>
        <c:lblOffset val="100"/>
        <c:noMultiLvlLbl val="0"/>
      </c:catAx>
      <c:valAx>
        <c:axId val="354817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812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2025-12-01T04:45:00Z</dcterms:created>
  <dcterms:modified xsi:type="dcterms:W3CDTF">2025-12-01T04:49:00Z</dcterms:modified>
</cp:coreProperties>
</file>