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02" w:rsidRDefault="00F04502" w:rsidP="00F0450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4502" w:rsidRDefault="00F04502" w:rsidP="00F0450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04502" w:rsidRDefault="00F04502" w:rsidP="00F04502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 по результатам итоговой педагогической диагностики</w:t>
      </w:r>
    </w:p>
    <w:p w:rsidR="00F04502" w:rsidRDefault="00F04502" w:rsidP="00F04502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апрель 2025 года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дата проведения с 1.04  по 15.04.2025 г.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 определение уровня индивидуального развития детей (на конец учебного года).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Направления деятельности: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«Социально-коммуникативное развитие»;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«Познавательное развитие»;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«Речевое развитие»;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«Художественно-эстетическое развитие»;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образовательная область «Физическое развитие».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Методы мониторинга: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наблюдение;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создание исследовательских ситуаций для изучения проявлений;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беседа.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Сроки выполнения: 1-15 апреля 2025 года.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отчетности: таблицы (цифровое выражение), выводы по результатам.</w:t>
      </w:r>
    </w:p>
    <w:p w:rsidR="00F04502" w:rsidRDefault="00F04502" w:rsidP="00F04502">
      <w:pPr>
        <w:pStyle w:val="a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Списочный состав 1 младшей группы составлял 24 человека; из них 11 девочек, 13 мальчиков. Мониторинг проводился в конце года, чтобы выявить степень усвоения программного материала,  уровень развития ребенка; индивидуальные достижения, индивидуальные проблемы и проявления, требующие проведения индивидуальной работы с воспитанником; определить перспективы дальнейшей педагогической работы с воспитанниками.</w:t>
      </w:r>
    </w:p>
    <w:p w:rsidR="00F04502" w:rsidRDefault="00F04502" w:rsidP="00F045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Вывод</w:t>
      </w:r>
      <w:proofErr w:type="gramStart"/>
      <w:r>
        <w:rPr>
          <w:color w:val="000000"/>
          <w:shd w:val="clear" w:color="auto" w:fill="FFFFFF"/>
        </w:rPr>
        <w:t> :</w:t>
      </w:r>
      <w:proofErr w:type="gramEnd"/>
      <w:r>
        <w:rPr>
          <w:color w:val="000000"/>
          <w:shd w:val="clear" w:color="auto" w:fill="FFFFFF"/>
        </w:rPr>
        <w:t xml:space="preserve"> высокий уровень -19 человек.</w:t>
      </w:r>
    </w:p>
    <w:p w:rsidR="00F04502" w:rsidRDefault="00F04502" w:rsidP="00F045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хороший уровень - 3 человека</w:t>
      </w:r>
    </w:p>
    <w:p w:rsidR="00F04502" w:rsidRDefault="00F04502" w:rsidP="00F045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средний уровень – 2 человека</w:t>
      </w:r>
    </w:p>
    <w:p w:rsidR="00F04502" w:rsidRDefault="00F04502" w:rsidP="00F045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ниже среднего – 0 человек</w:t>
      </w:r>
    </w:p>
    <w:p w:rsidR="00F04502" w:rsidRDefault="00F04502" w:rsidP="00F04502">
      <w:pPr>
        <w:pStyle w:val="a5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Сравнительный мониторинг вначале и </w:t>
      </w:r>
      <w:proofErr w:type="gramStart"/>
      <w:r>
        <w:rPr>
          <w:color w:val="000000"/>
          <w:shd w:val="clear" w:color="auto" w:fill="FFFFFF"/>
        </w:rPr>
        <w:t>конце</w:t>
      </w:r>
      <w:proofErr w:type="gramEnd"/>
      <w:r>
        <w:rPr>
          <w:color w:val="000000"/>
          <w:shd w:val="clear" w:color="auto" w:fill="FFFFFF"/>
        </w:rPr>
        <w:t xml:space="preserve"> учебного года показывает рост усвоения детьми программного материала, то есть прослеживается положительная динамика развития детей по всем видам деятельности. В основном показатели выполнения «Федеральной образовательной программы» находятся в пределах высокого и хорошего уровней. Наличие среднего уровня объясняется сложной адаптацией, возрастными особенностями и характером  поведения детей. Таким образом, образовательная деятельность группы раннего возраста реализуется на достаточном уровне.</w:t>
      </w:r>
    </w:p>
    <w:p w:rsidR="00F04502" w:rsidRDefault="00F04502" w:rsidP="00F04502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04502" w:rsidRDefault="00F04502" w:rsidP="00F04502"/>
    <w:p w:rsidR="00F04502" w:rsidRDefault="00F04502" w:rsidP="00F04502"/>
    <w:p w:rsidR="00F04502" w:rsidRDefault="00F04502" w:rsidP="00F04502"/>
    <w:p w:rsidR="00F04502" w:rsidRDefault="00F04502" w:rsidP="00F04502"/>
    <w:p w:rsidR="00F04502" w:rsidRDefault="00F04502" w:rsidP="00F04502"/>
    <w:p w:rsidR="00F04502" w:rsidRDefault="00F04502" w:rsidP="00F04502"/>
    <w:p w:rsidR="001F475B" w:rsidRDefault="001F475B" w:rsidP="00F04502">
      <w:pPr>
        <w:tabs>
          <w:tab w:val="left" w:pos="3686"/>
        </w:tabs>
        <w:rPr>
          <w:rFonts w:ascii="Times New Roman" w:hAnsi="Times New Roman" w:cs="Times New Roman"/>
          <w:sz w:val="18"/>
          <w:szCs w:val="18"/>
        </w:rPr>
      </w:pPr>
    </w:p>
    <w:p w:rsidR="001F475B" w:rsidRDefault="001B5D26" w:rsidP="001F475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9910" cy="1664335"/>
            <wp:effectExtent l="19050" t="0" r="2794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="00953351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49520" cy="1664537"/>
            <wp:effectExtent l="19050" t="0" r="2213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53351">
        <w:rPr>
          <w:rFonts w:ascii="Times New Roman" w:hAnsi="Times New Roman" w:cs="Times New Roman"/>
          <w:sz w:val="18"/>
          <w:szCs w:val="18"/>
        </w:rPr>
        <w:t xml:space="preserve">   </w:t>
      </w:r>
      <w:r w:rsidR="00DD0609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952112" cy="1664537"/>
            <wp:effectExtent l="19050" t="0" r="1003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54995" cy="1664537"/>
            <wp:effectExtent l="19050" t="0" r="1665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655480" cy="1656917"/>
            <wp:effectExtent l="19050" t="0" r="20920" b="433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F475B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F475B" w:rsidRDefault="001B5D2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820138" cy="1553518"/>
            <wp:effectExtent l="19050" t="0" r="27712" b="858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B3C39">
        <w:rPr>
          <w:rFonts w:ascii="Times New Roman" w:hAnsi="Times New Roman" w:cs="Times New Roman"/>
          <w:sz w:val="18"/>
          <w:szCs w:val="18"/>
        </w:rPr>
        <w:t xml:space="preserve">  </w:t>
      </w:r>
      <w:r w:rsidR="00AB3C39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65947" cy="1533126"/>
            <wp:effectExtent l="19050" t="0" r="24753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01652">
        <w:rPr>
          <w:rFonts w:ascii="Times New Roman" w:hAnsi="Times New Roman" w:cs="Times New Roman"/>
          <w:sz w:val="18"/>
          <w:szCs w:val="18"/>
        </w:rPr>
        <w:t xml:space="preserve">  </w:t>
      </w:r>
      <w:r w:rsidR="0000165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946636" cy="1533126"/>
            <wp:effectExtent l="19050" t="0" r="15514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01652">
        <w:rPr>
          <w:rFonts w:ascii="Times New Roman" w:hAnsi="Times New Roman" w:cs="Times New Roman"/>
          <w:sz w:val="18"/>
          <w:szCs w:val="18"/>
        </w:rPr>
        <w:t xml:space="preserve">   </w:t>
      </w:r>
      <w:r w:rsidR="0000165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93240" cy="1527651"/>
            <wp:effectExtent l="19050" t="0" r="1651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01652">
        <w:rPr>
          <w:rFonts w:ascii="Times New Roman" w:hAnsi="Times New Roman" w:cs="Times New Roman"/>
          <w:sz w:val="18"/>
          <w:szCs w:val="18"/>
        </w:rPr>
        <w:t xml:space="preserve">  </w:t>
      </w:r>
      <w:r w:rsidR="00001652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1711192" cy="1522175"/>
            <wp:effectExtent l="19050" t="0" r="22358" b="18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F475B" w:rsidRPr="001F475B" w:rsidRDefault="001F475B" w:rsidP="001F475B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1F475B" w:rsidRPr="001F475B" w:rsidSect="00F045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75B"/>
    <w:rsid w:val="00001652"/>
    <w:rsid w:val="000828E8"/>
    <w:rsid w:val="000A1F1A"/>
    <w:rsid w:val="001B5D26"/>
    <w:rsid w:val="001F475B"/>
    <w:rsid w:val="00250071"/>
    <w:rsid w:val="00292BF6"/>
    <w:rsid w:val="0029399A"/>
    <w:rsid w:val="002A06B0"/>
    <w:rsid w:val="0031428F"/>
    <w:rsid w:val="003534F7"/>
    <w:rsid w:val="003A4975"/>
    <w:rsid w:val="00405C88"/>
    <w:rsid w:val="004450D0"/>
    <w:rsid w:val="00454699"/>
    <w:rsid w:val="00654C90"/>
    <w:rsid w:val="007949AC"/>
    <w:rsid w:val="007D1412"/>
    <w:rsid w:val="007F14C0"/>
    <w:rsid w:val="007F2518"/>
    <w:rsid w:val="008406DE"/>
    <w:rsid w:val="008A4957"/>
    <w:rsid w:val="0091521A"/>
    <w:rsid w:val="00953351"/>
    <w:rsid w:val="009D5CF2"/>
    <w:rsid w:val="00A503A5"/>
    <w:rsid w:val="00AB3C39"/>
    <w:rsid w:val="00AC3788"/>
    <w:rsid w:val="00BB5D93"/>
    <w:rsid w:val="00BC6CC5"/>
    <w:rsid w:val="00BE57E8"/>
    <w:rsid w:val="00CD0CC7"/>
    <w:rsid w:val="00CE0303"/>
    <w:rsid w:val="00D72F94"/>
    <w:rsid w:val="00DD0609"/>
    <w:rsid w:val="00E41B41"/>
    <w:rsid w:val="00E5512A"/>
    <w:rsid w:val="00EB3294"/>
    <w:rsid w:val="00EC0AFE"/>
    <w:rsid w:val="00F04502"/>
    <w:rsid w:val="00FB6983"/>
    <w:rsid w:val="00FE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5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0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theme" Target="theme/theme1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Здоровье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75%</c:v>
                </c:pt>
                <c:pt idx="1">
                  <c:v>хороший 21%</c:v>
                </c:pt>
                <c:pt idx="2">
                  <c:v>срелний 4%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0.75000000000000056</c:v>
                </c:pt>
                <c:pt idx="1">
                  <c:v>0.21000000000000013</c:v>
                </c:pt>
                <c:pt idx="2">
                  <c:v>4.0000000000000029E-2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6469990274244364"/>
          <c:y val="0.18960846223867189"/>
          <c:w val="0.40738662900912748"/>
          <c:h val="0.7732818212679532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Музыка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63%</c:v>
                </c:pt>
                <c:pt idx="1">
                  <c:v>хороший 33%</c:v>
                </c:pt>
                <c:pt idx="2">
                  <c:v>средний 9%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33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446549539735967"/>
          <c:y val="0.15449931840951289"/>
          <c:w val="0.44811277752584239"/>
          <c:h val="0.84550068159048763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Физкультура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86%</c:v>
                </c:pt>
                <c:pt idx="1">
                  <c:v>хороший 14%</c:v>
                </c:pt>
                <c:pt idx="2">
                  <c:v>средний0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7859641501669035"/>
          <c:y val="0.31225680174126624"/>
          <c:w val="0.39474084320270764"/>
          <c:h val="0.47815098132393702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Социализация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79%</c:v>
                </c:pt>
                <c:pt idx="1">
                  <c:v>хороший21%</c:v>
                </c:pt>
                <c:pt idx="2">
                  <c:v>средний0%</c:v>
                </c:pt>
                <c:pt idx="3">
                  <c:v>н  сред 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</c:v>
                </c:pt>
                <c:pt idx="1">
                  <c:v>21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8022439286270378"/>
          <c:y val="0.18964612982468998"/>
          <c:w val="0.38074096158417198"/>
          <c:h val="0.77318797960033325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высокий67%</c:v>
                </c:pt>
                <c:pt idx="1">
                  <c:v>хороший29%</c:v>
                </c:pt>
                <c:pt idx="2">
                  <c:v>средний4%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29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5088305094886314"/>
          <c:y val="0.18964612982468998"/>
          <c:w val="0.40569802193168641"/>
          <c:h val="0.77318797960033325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Безопасность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63%</c:v>
                </c:pt>
                <c:pt idx="1">
                  <c:v>хороший 33%</c:v>
                </c:pt>
                <c:pt idx="2">
                  <c:v>средний 4%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33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447833860874184"/>
          <c:y val="0.18821884258535629"/>
          <c:w val="0.44785017034334496"/>
          <c:h val="0.7767437958570047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Познание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58%</c:v>
                </c:pt>
                <c:pt idx="1">
                  <c:v>хороший 38%</c:v>
                </c:pt>
                <c:pt idx="2">
                  <c:v>средний 4%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38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5079944487725652"/>
          <c:y val="0.32552825264979285"/>
          <c:w val="0.40733559763050936"/>
          <c:h val="0.51232106740958361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Худ.литература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58%</c:v>
                </c:pt>
                <c:pt idx="1">
                  <c:v>хороший 25%</c:v>
                </c:pt>
                <c:pt idx="2">
                  <c:v>средний 17%</c:v>
                </c:pt>
                <c:pt idx="3">
                  <c:v>н сред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25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0845127288644554"/>
          <c:y val="0.30319751931674238"/>
          <c:w val="0.49154872711355485"/>
          <c:h val="0.55915560756258931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Коммуникация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75%</c:v>
                </c:pt>
                <c:pt idx="1">
                  <c:v>хороший 21%</c:v>
                </c:pt>
                <c:pt idx="2">
                  <c:v>средний 4%</c:v>
                </c:pt>
                <c:pt idx="3">
                  <c:v>н сред  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21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6213899260056865"/>
          <c:y val="0.26177887531749056"/>
          <c:w val="0.43133693202016232"/>
          <c:h val="0.55915560756259131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Pr>
        <a:bodyPr/>
        <a:lstStyle/>
        <a:p>
          <a:pPr>
            <a:defRPr sz="900"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 творчетво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высокий 58%</c:v>
                </c:pt>
                <c:pt idx="1">
                  <c:v>хороший 42%</c:v>
                </c:pt>
                <c:pt idx="2">
                  <c:v>средний 0</c:v>
                </c:pt>
                <c:pt idx="3">
                  <c:v>н сред 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58</c:v>
                </c:pt>
                <c:pt idx="1">
                  <c:v>42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4406158684838613"/>
          <c:y val="0.32257367684111132"/>
          <c:w val="0.41344549530458885"/>
          <c:h val="0.52099596046479291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25</cp:revision>
  <dcterms:created xsi:type="dcterms:W3CDTF">2025-08-20T10:49:00Z</dcterms:created>
  <dcterms:modified xsi:type="dcterms:W3CDTF">2025-09-05T03:12:00Z</dcterms:modified>
</cp:coreProperties>
</file>